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B5B" w:rsidRPr="009A1559" w:rsidRDefault="00D11B5B" w:rsidP="00D30D01">
      <w:pPr>
        <w:jc w:val="center"/>
        <w:rPr>
          <w:rFonts w:ascii="Times New Roman" w:hAnsi="Times New Roman"/>
          <w:b/>
          <w:sz w:val="24"/>
          <w:szCs w:val="24"/>
          <w:lang w:val="uk-UA"/>
        </w:rPr>
      </w:pPr>
      <w:r w:rsidRPr="009A1559">
        <w:rPr>
          <w:rFonts w:ascii="Times New Roman" w:hAnsi="Times New Roman"/>
          <w:b/>
          <w:sz w:val="24"/>
          <w:szCs w:val="24"/>
          <w:lang w:val="uk-UA"/>
        </w:rPr>
        <w:t>Аналіз впливу регуляторного акту</w:t>
      </w:r>
    </w:p>
    <w:p w:rsidR="00D11B5B" w:rsidRDefault="00D11B5B" w:rsidP="00D30D01">
      <w:pPr>
        <w:jc w:val="center"/>
        <w:rPr>
          <w:rFonts w:ascii="Times New Roman" w:hAnsi="Times New Roman"/>
          <w:b/>
          <w:sz w:val="24"/>
          <w:szCs w:val="24"/>
          <w:lang w:val="uk-UA"/>
        </w:rPr>
      </w:pPr>
      <w:r>
        <w:rPr>
          <w:rFonts w:ascii="Times New Roman" w:hAnsi="Times New Roman"/>
          <w:b/>
          <w:sz w:val="24"/>
          <w:szCs w:val="24"/>
          <w:lang w:val="uk-UA"/>
        </w:rPr>
        <w:t xml:space="preserve">проекту рішення виконавчого комітету </w:t>
      </w:r>
      <w:proofErr w:type="spellStart"/>
      <w:r>
        <w:rPr>
          <w:rFonts w:ascii="Times New Roman" w:hAnsi="Times New Roman"/>
          <w:b/>
          <w:sz w:val="24"/>
          <w:szCs w:val="24"/>
          <w:lang w:val="uk-UA"/>
        </w:rPr>
        <w:t>Димитровської</w:t>
      </w:r>
      <w:proofErr w:type="spellEnd"/>
      <w:r>
        <w:rPr>
          <w:rFonts w:ascii="Times New Roman" w:hAnsi="Times New Roman"/>
          <w:b/>
          <w:sz w:val="24"/>
          <w:szCs w:val="24"/>
          <w:lang w:val="uk-UA"/>
        </w:rPr>
        <w:t xml:space="preserve"> міської ради </w:t>
      </w:r>
    </w:p>
    <w:p w:rsidR="00D11B5B" w:rsidRDefault="00D11B5B" w:rsidP="007554D0">
      <w:pPr>
        <w:jc w:val="center"/>
        <w:rPr>
          <w:rFonts w:ascii="Times New Roman" w:hAnsi="Times New Roman"/>
          <w:b/>
          <w:sz w:val="24"/>
          <w:szCs w:val="24"/>
          <w:lang w:val="uk-UA"/>
        </w:rPr>
      </w:pPr>
      <w:r>
        <w:rPr>
          <w:rFonts w:ascii="Times New Roman" w:hAnsi="Times New Roman"/>
          <w:b/>
          <w:sz w:val="24"/>
          <w:szCs w:val="24"/>
          <w:lang w:val="uk-UA"/>
        </w:rPr>
        <w:t>«Про затвердження норм утворення твердих побутових відходів в місті Димитрові »</w:t>
      </w:r>
    </w:p>
    <w:p w:rsidR="00D11B5B" w:rsidRPr="007554D0" w:rsidRDefault="00D11B5B" w:rsidP="007554D0">
      <w:pPr>
        <w:rPr>
          <w:rFonts w:ascii="Times New Roman" w:hAnsi="Times New Roman"/>
          <w:b/>
          <w:sz w:val="24"/>
          <w:szCs w:val="24"/>
          <w:lang w:val="uk-UA"/>
        </w:rPr>
      </w:pPr>
      <w:r>
        <w:rPr>
          <w:rFonts w:ascii="Times New Roman" w:hAnsi="Times New Roman"/>
          <w:b/>
          <w:sz w:val="24"/>
          <w:szCs w:val="24"/>
          <w:lang w:val="uk-UA"/>
        </w:rPr>
        <w:t>1.</w:t>
      </w:r>
      <w:r w:rsidRPr="007554D0">
        <w:rPr>
          <w:rFonts w:ascii="Times New Roman" w:hAnsi="Times New Roman"/>
          <w:b/>
          <w:sz w:val="24"/>
          <w:szCs w:val="24"/>
          <w:lang w:val="uk-UA"/>
        </w:rPr>
        <w:t xml:space="preserve">Визначення проблеми </w:t>
      </w:r>
    </w:p>
    <w:p w:rsidR="00D11B5B" w:rsidRDefault="00D11B5B" w:rsidP="00CC6D0C">
      <w:pPr>
        <w:ind w:firstLine="360"/>
        <w:jc w:val="both"/>
        <w:rPr>
          <w:rFonts w:ascii="Times New Roman" w:hAnsi="Times New Roman"/>
          <w:sz w:val="24"/>
          <w:szCs w:val="24"/>
          <w:lang w:val="uk-UA"/>
        </w:rPr>
      </w:pPr>
      <w:r>
        <w:rPr>
          <w:rFonts w:ascii="Times New Roman" w:hAnsi="Times New Roman"/>
          <w:sz w:val="24"/>
          <w:szCs w:val="24"/>
          <w:lang w:val="uk-UA"/>
        </w:rPr>
        <w:t>Діючі н</w:t>
      </w:r>
      <w:r w:rsidRPr="000D5F4D">
        <w:rPr>
          <w:rFonts w:ascii="Times New Roman" w:hAnsi="Times New Roman"/>
          <w:sz w:val="24"/>
          <w:szCs w:val="24"/>
          <w:lang w:val="uk-UA"/>
        </w:rPr>
        <w:t>орми утворення твердих побутових відходів</w:t>
      </w:r>
      <w:r>
        <w:rPr>
          <w:rFonts w:ascii="Times New Roman" w:hAnsi="Times New Roman"/>
          <w:sz w:val="24"/>
          <w:szCs w:val="24"/>
          <w:lang w:val="uk-UA"/>
        </w:rPr>
        <w:t xml:space="preserve"> затверджені рішенням виконавчого комітету </w:t>
      </w:r>
      <w:proofErr w:type="spellStart"/>
      <w:r>
        <w:rPr>
          <w:rFonts w:ascii="Times New Roman" w:hAnsi="Times New Roman"/>
          <w:sz w:val="24"/>
          <w:szCs w:val="24"/>
          <w:lang w:val="uk-UA"/>
        </w:rPr>
        <w:t>Димитровської</w:t>
      </w:r>
      <w:proofErr w:type="spellEnd"/>
      <w:r>
        <w:rPr>
          <w:rFonts w:ascii="Times New Roman" w:hAnsi="Times New Roman"/>
          <w:sz w:val="24"/>
          <w:szCs w:val="24"/>
          <w:lang w:val="uk-UA"/>
        </w:rPr>
        <w:t xml:space="preserve"> міської ради від 20.10.2006 № 457 «Про затвердження норм утворення твердих побутових відходів». За час дії регуляторного акту змінився морфологічний склад відходів, в основному за рахунок пластикової та пакувальної тари від товарів продовольчого та промислового виробництва, внаслідок чого значно збільшилися обсяги вивезення та захоронення ( розміщення на полігоні) ТПВ. </w:t>
      </w:r>
    </w:p>
    <w:tbl>
      <w:tblPr>
        <w:tblpPr w:leftFromText="180" w:rightFromText="180" w:vertAnchor="text" w:horzAnchor="margin" w:tblpY="1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1134"/>
        <w:gridCol w:w="1134"/>
        <w:gridCol w:w="992"/>
        <w:gridCol w:w="1134"/>
        <w:gridCol w:w="1276"/>
      </w:tblGrid>
      <w:tr w:rsidR="00D11B5B" w:rsidRPr="008B2527" w:rsidTr="00FD75EE">
        <w:tc>
          <w:tcPr>
            <w:tcW w:w="3794" w:type="dxa"/>
          </w:tcPr>
          <w:p w:rsidR="00D11B5B" w:rsidRPr="00130D30" w:rsidRDefault="00D11B5B" w:rsidP="00130D30">
            <w:pPr>
              <w:jc w:val="center"/>
              <w:rPr>
                <w:rFonts w:ascii="Times New Roman" w:hAnsi="Times New Roman"/>
                <w:sz w:val="24"/>
                <w:szCs w:val="24"/>
                <w:lang w:val="uk-UA"/>
              </w:rPr>
            </w:pPr>
            <w:r w:rsidRPr="008B2527">
              <w:rPr>
                <w:rFonts w:ascii="Times New Roman" w:hAnsi="Times New Roman"/>
                <w:sz w:val="24"/>
                <w:szCs w:val="24"/>
                <w:lang w:val="uk-UA"/>
              </w:rPr>
              <w:t>Показники</w:t>
            </w:r>
          </w:p>
        </w:tc>
        <w:tc>
          <w:tcPr>
            <w:tcW w:w="1134" w:type="dxa"/>
          </w:tcPr>
          <w:p w:rsidR="00D11B5B" w:rsidRPr="00130D30" w:rsidRDefault="00D11B5B" w:rsidP="00130D30">
            <w:pPr>
              <w:jc w:val="center"/>
              <w:rPr>
                <w:rFonts w:ascii="Times New Roman" w:hAnsi="Times New Roman"/>
                <w:sz w:val="24"/>
                <w:szCs w:val="24"/>
                <w:lang w:val="uk-UA"/>
              </w:rPr>
            </w:pPr>
            <w:r w:rsidRPr="008B2527">
              <w:rPr>
                <w:rFonts w:ascii="Times New Roman" w:hAnsi="Times New Roman"/>
                <w:sz w:val="24"/>
                <w:szCs w:val="24"/>
                <w:lang w:val="uk-UA"/>
              </w:rPr>
              <w:t>2008</w:t>
            </w:r>
          </w:p>
        </w:tc>
        <w:tc>
          <w:tcPr>
            <w:tcW w:w="1134" w:type="dxa"/>
          </w:tcPr>
          <w:p w:rsidR="00D11B5B" w:rsidRPr="00130D30" w:rsidRDefault="00D11B5B" w:rsidP="00130D30">
            <w:pPr>
              <w:jc w:val="center"/>
              <w:rPr>
                <w:rFonts w:ascii="Times New Roman" w:hAnsi="Times New Roman"/>
                <w:sz w:val="24"/>
                <w:szCs w:val="24"/>
                <w:lang w:val="uk-UA"/>
              </w:rPr>
            </w:pPr>
            <w:r w:rsidRPr="008B2527">
              <w:rPr>
                <w:rFonts w:ascii="Times New Roman" w:hAnsi="Times New Roman"/>
                <w:sz w:val="24"/>
                <w:szCs w:val="24"/>
                <w:lang w:val="uk-UA"/>
              </w:rPr>
              <w:t>2009</w:t>
            </w:r>
          </w:p>
        </w:tc>
        <w:tc>
          <w:tcPr>
            <w:tcW w:w="992" w:type="dxa"/>
          </w:tcPr>
          <w:p w:rsidR="00D11B5B" w:rsidRPr="00130D30" w:rsidRDefault="00D11B5B" w:rsidP="00130D30">
            <w:pPr>
              <w:jc w:val="center"/>
              <w:rPr>
                <w:rFonts w:ascii="Times New Roman" w:hAnsi="Times New Roman"/>
                <w:sz w:val="24"/>
                <w:szCs w:val="24"/>
                <w:lang w:val="uk-UA"/>
              </w:rPr>
            </w:pPr>
            <w:r w:rsidRPr="008B2527">
              <w:rPr>
                <w:rFonts w:ascii="Times New Roman" w:hAnsi="Times New Roman"/>
                <w:sz w:val="24"/>
                <w:szCs w:val="24"/>
                <w:lang w:val="uk-UA"/>
              </w:rPr>
              <w:t>2010</w:t>
            </w:r>
          </w:p>
        </w:tc>
        <w:tc>
          <w:tcPr>
            <w:tcW w:w="1134" w:type="dxa"/>
          </w:tcPr>
          <w:p w:rsidR="00D11B5B" w:rsidRPr="00130D30" w:rsidRDefault="00D11B5B" w:rsidP="00130D30">
            <w:pPr>
              <w:jc w:val="center"/>
              <w:rPr>
                <w:rFonts w:ascii="Times New Roman" w:hAnsi="Times New Roman"/>
                <w:sz w:val="24"/>
                <w:szCs w:val="24"/>
                <w:lang w:val="uk-UA"/>
              </w:rPr>
            </w:pPr>
            <w:r w:rsidRPr="008B2527">
              <w:rPr>
                <w:rFonts w:ascii="Times New Roman" w:hAnsi="Times New Roman"/>
                <w:sz w:val="24"/>
                <w:szCs w:val="24"/>
                <w:lang w:val="uk-UA"/>
              </w:rPr>
              <w:t>2011</w:t>
            </w:r>
          </w:p>
        </w:tc>
        <w:tc>
          <w:tcPr>
            <w:tcW w:w="1276" w:type="dxa"/>
          </w:tcPr>
          <w:p w:rsidR="00D11B5B" w:rsidRPr="00130D30" w:rsidRDefault="00D11B5B" w:rsidP="00130D30">
            <w:pPr>
              <w:jc w:val="center"/>
              <w:rPr>
                <w:rFonts w:ascii="Times New Roman" w:hAnsi="Times New Roman"/>
                <w:sz w:val="24"/>
                <w:szCs w:val="24"/>
                <w:lang w:val="uk-UA"/>
              </w:rPr>
            </w:pPr>
            <w:r w:rsidRPr="008B2527">
              <w:rPr>
                <w:rFonts w:ascii="Times New Roman" w:hAnsi="Times New Roman"/>
                <w:sz w:val="24"/>
                <w:szCs w:val="24"/>
                <w:lang w:val="uk-UA"/>
              </w:rPr>
              <w:t>2012</w:t>
            </w:r>
          </w:p>
        </w:tc>
      </w:tr>
      <w:tr w:rsidR="00D11B5B" w:rsidRPr="008B2527" w:rsidTr="00FD75EE">
        <w:tc>
          <w:tcPr>
            <w:tcW w:w="3794" w:type="dxa"/>
          </w:tcPr>
          <w:p w:rsidR="00D11B5B" w:rsidRPr="00130D30" w:rsidRDefault="00D11B5B" w:rsidP="00130D30">
            <w:pPr>
              <w:rPr>
                <w:rFonts w:ascii="Times New Roman" w:hAnsi="Times New Roman"/>
                <w:sz w:val="24"/>
                <w:szCs w:val="24"/>
                <w:lang w:val="uk-UA"/>
              </w:rPr>
            </w:pPr>
            <w:r w:rsidRPr="008B2527">
              <w:rPr>
                <w:rFonts w:ascii="Times New Roman" w:hAnsi="Times New Roman"/>
                <w:sz w:val="24"/>
                <w:szCs w:val="24"/>
                <w:lang w:val="uk-UA"/>
              </w:rPr>
              <w:t>Обсяги вивезення  ТПВ, м</w:t>
            </w:r>
            <w:r w:rsidRPr="008B2527">
              <w:rPr>
                <w:rFonts w:ascii="Times New Roman" w:hAnsi="Times New Roman"/>
                <w:sz w:val="24"/>
                <w:szCs w:val="24"/>
                <w:vertAlign w:val="superscript"/>
                <w:lang w:val="uk-UA"/>
              </w:rPr>
              <w:t>3</w:t>
            </w:r>
          </w:p>
        </w:tc>
        <w:tc>
          <w:tcPr>
            <w:tcW w:w="1134" w:type="dxa"/>
          </w:tcPr>
          <w:p w:rsidR="00D11B5B" w:rsidRPr="00130D30" w:rsidRDefault="00D11B5B" w:rsidP="00130D30">
            <w:pPr>
              <w:jc w:val="center"/>
              <w:rPr>
                <w:rFonts w:ascii="Times New Roman" w:hAnsi="Times New Roman"/>
                <w:sz w:val="24"/>
                <w:szCs w:val="24"/>
                <w:lang w:val="uk-UA"/>
              </w:rPr>
            </w:pPr>
            <w:r w:rsidRPr="008B2527">
              <w:rPr>
                <w:rFonts w:ascii="Times New Roman" w:hAnsi="Times New Roman"/>
                <w:sz w:val="24"/>
                <w:szCs w:val="24"/>
                <w:lang w:val="uk-UA"/>
              </w:rPr>
              <w:t>98029</w:t>
            </w:r>
          </w:p>
        </w:tc>
        <w:tc>
          <w:tcPr>
            <w:tcW w:w="1134" w:type="dxa"/>
          </w:tcPr>
          <w:p w:rsidR="00D11B5B" w:rsidRPr="00130D30" w:rsidRDefault="00D11B5B" w:rsidP="00130D30">
            <w:pPr>
              <w:jc w:val="center"/>
              <w:rPr>
                <w:rFonts w:ascii="Times New Roman" w:hAnsi="Times New Roman"/>
                <w:sz w:val="24"/>
                <w:szCs w:val="24"/>
                <w:lang w:val="uk-UA"/>
              </w:rPr>
            </w:pPr>
            <w:r w:rsidRPr="008B2527">
              <w:rPr>
                <w:rFonts w:ascii="Times New Roman" w:hAnsi="Times New Roman"/>
                <w:sz w:val="24"/>
                <w:szCs w:val="24"/>
                <w:lang w:val="uk-UA"/>
              </w:rPr>
              <w:t>101578</w:t>
            </w:r>
          </w:p>
        </w:tc>
        <w:tc>
          <w:tcPr>
            <w:tcW w:w="992" w:type="dxa"/>
          </w:tcPr>
          <w:p w:rsidR="00D11B5B" w:rsidRPr="00130D30" w:rsidRDefault="00D11B5B" w:rsidP="00130D30">
            <w:pPr>
              <w:jc w:val="center"/>
              <w:rPr>
                <w:rFonts w:ascii="Times New Roman" w:hAnsi="Times New Roman"/>
                <w:sz w:val="24"/>
                <w:szCs w:val="24"/>
                <w:lang w:val="uk-UA"/>
              </w:rPr>
            </w:pPr>
            <w:r w:rsidRPr="008B2527">
              <w:rPr>
                <w:rFonts w:ascii="Times New Roman" w:hAnsi="Times New Roman"/>
                <w:sz w:val="24"/>
                <w:szCs w:val="24"/>
                <w:lang w:val="uk-UA"/>
              </w:rPr>
              <w:t>115775</w:t>
            </w:r>
          </w:p>
        </w:tc>
        <w:tc>
          <w:tcPr>
            <w:tcW w:w="1134" w:type="dxa"/>
          </w:tcPr>
          <w:p w:rsidR="00D11B5B" w:rsidRPr="00130D30" w:rsidRDefault="00D11B5B" w:rsidP="00130D30">
            <w:pPr>
              <w:jc w:val="center"/>
              <w:rPr>
                <w:rFonts w:ascii="Times New Roman" w:hAnsi="Times New Roman"/>
                <w:sz w:val="24"/>
                <w:szCs w:val="24"/>
                <w:lang w:val="uk-UA"/>
              </w:rPr>
            </w:pPr>
            <w:r w:rsidRPr="008B2527">
              <w:rPr>
                <w:rFonts w:ascii="Times New Roman" w:hAnsi="Times New Roman"/>
                <w:sz w:val="24"/>
                <w:szCs w:val="24"/>
                <w:lang w:val="uk-UA"/>
              </w:rPr>
              <w:t>128339</w:t>
            </w:r>
          </w:p>
        </w:tc>
        <w:tc>
          <w:tcPr>
            <w:tcW w:w="1276" w:type="dxa"/>
          </w:tcPr>
          <w:p w:rsidR="00D11B5B" w:rsidRPr="00130D30" w:rsidRDefault="00D11B5B" w:rsidP="00130D30">
            <w:pPr>
              <w:jc w:val="center"/>
              <w:rPr>
                <w:rFonts w:ascii="Times New Roman" w:hAnsi="Times New Roman"/>
                <w:sz w:val="24"/>
                <w:szCs w:val="24"/>
                <w:lang w:val="uk-UA"/>
              </w:rPr>
            </w:pPr>
            <w:r w:rsidRPr="008B2527">
              <w:rPr>
                <w:rFonts w:ascii="Times New Roman" w:hAnsi="Times New Roman"/>
                <w:sz w:val="24"/>
                <w:szCs w:val="24"/>
                <w:lang w:val="uk-UA"/>
              </w:rPr>
              <w:t>130277</w:t>
            </w:r>
          </w:p>
        </w:tc>
      </w:tr>
    </w:tbl>
    <w:p w:rsidR="00D11B5B" w:rsidRDefault="00D11B5B" w:rsidP="00A50A4D">
      <w:pPr>
        <w:spacing w:after="0"/>
        <w:jc w:val="both"/>
        <w:rPr>
          <w:rFonts w:ascii="Times New Roman" w:hAnsi="Times New Roman"/>
          <w:sz w:val="24"/>
          <w:szCs w:val="24"/>
          <w:lang w:val="uk-UA"/>
        </w:rPr>
      </w:pPr>
    </w:p>
    <w:p w:rsidR="00D11B5B" w:rsidRDefault="00D11B5B" w:rsidP="00A50A4D">
      <w:pPr>
        <w:spacing w:after="0"/>
        <w:ind w:firstLine="360"/>
        <w:jc w:val="both"/>
        <w:rPr>
          <w:rFonts w:ascii="Times New Roman" w:hAnsi="Times New Roman"/>
          <w:sz w:val="24"/>
          <w:szCs w:val="24"/>
          <w:lang w:val="uk-UA"/>
        </w:rPr>
      </w:pPr>
      <w:r>
        <w:rPr>
          <w:rFonts w:ascii="Times New Roman" w:hAnsi="Times New Roman"/>
          <w:sz w:val="24"/>
          <w:szCs w:val="24"/>
          <w:lang w:val="uk-UA"/>
        </w:rPr>
        <w:t xml:space="preserve">За останні 5 років обсяг ТПВ зріс на </w:t>
      </w:r>
      <w:smartTag w:uri="urn:schemas-microsoft-com:office:smarttags" w:element="metricconverter">
        <w:smartTagPr>
          <w:attr w:name="ProductID" w:val="32248 м3"/>
        </w:smartTagPr>
        <w:r>
          <w:rPr>
            <w:rFonts w:ascii="Times New Roman" w:hAnsi="Times New Roman"/>
            <w:sz w:val="24"/>
            <w:szCs w:val="24"/>
            <w:lang w:val="uk-UA"/>
          </w:rPr>
          <w:t>32248 м3</w:t>
        </w:r>
      </w:smartTag>
      <w:r>
        <w:rPr>
          <w:rFonts w:ascii="Times New Roman" w:hAnsi="Times New Roman"/>
          <w:sz w:val="24"/>
          <w:szCs w:val="24"/>
          <w:lang w:val="uk-UA"/>
        </w:rPr>
        <w:t xml:space="preserve"> або 8062 т, що у  відсотках складає  132,9 %. Зростання обсягів ТПВ, окрім зростання собівартості надання послуг з економічних причин, мало суттєвий вплив на збільшення витрат підприємства та отримання збитків від надання послуг.</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1134"/>
        <w:gridCol w:w="1134"/>
        <w:gridCol w:w="992"/>
        <w:gridCol w:w="1134"/>
        <w:gridCol w:w="1276"/>
      </w:tblGrid>
      <w:tr w:rsidR="00D11B5B" w:rsidRPr="008B2527" w:rsidTr="00FD75EE">
        <w:tc>
          <w:tcPr>
            <w:tcW w:w="3794" w:type="dxa"/>
          </w:tcPr>
          <w:p w:rsidR="00D11B5B" w:rsidRPr="008D2CE1" w:rsidRDefault="00D11B5B">
            <w:pPr>
              <w:jc w:val="center"/>
              <w:rPr>
                <w:rFonts w:ascii="Times New Roman" w:hAnsi="Times New Roman"/>
                <w:sz w:val="24"/>
                <w:szCs w:val="24"/>
                <w:lang w:val="uk-UA"/>
              </w:rPr>
            </w:pPr>
            <w:r w:rsidRPr="008B2527">
              <w:rPr>
                <w:rFonts w:ascii="Times New Roman" w:hAnsi="Times New Roman"/>
                <w:sz w:val="24"/>
                <w:szCs w:val="24"/>
                <w:lang w:val="uk-UA"/>
              </w:rPr>
              <w:t>Показники</w:t>
            </w:r>
          </w:p>
        </w:tc>
        <w:tc>
          <w:tcPr>
            <w:tcW w:w="1134" w:type="dxa"/>
          </w:tcPr>
          <w:p w:rsidR="00D11B5B" w:rsidRPr="008D2CE1" w:rsidRDefault="00D11B5B">
            <w:pPr>
              <w:jc w:val="center"/>
              <w:rPr>
                <w:rFonts w:ascii="Times New Roman" w:hAnsi="Times New Roman"/>
                <w:sz w:val="24"/>
                <w:szCs w:val="24"/>
                <w:lang w:val="uk-UA"/>
              </w:rPr>
            </w:pPr>
            <w:r w:rsidRPr="008B2527">
              <w:rPr>
                <w:rFonts w:ascii="Times New Roman" w:hAnsi="Times New Roman"/>
                <w:sz w:val="24"/>
                <w:szCs w:val="24"/>
                <w:lang w:val="uk-UA"/>
              </w:rPr>
              <w:t>2008</w:t>
            </w:r>
          </w:p>
        </w:tc>
        <w:tc>
          <w:tcPr>
            <w:tcW w:w="1134" w:type="dxa"/>
          </w:tcPr>
          <w:p w:rsidR="00D11B5B" w:rsidRPr="008D2CE1" w:rsidRDefault="00D11B5B">
            <w:pPr>
              <w:jc w:val="center"/>
              <w:rPr>
                <w:rFonts w:ascii="Times New Roman" w:hAnsi="Times New Roman"/>
                <w:sz w:val="24"/>
                <w:szCs w:val="24"/>
                <w:lang w:val="uk-UA"/>
              </w:rPr>
            </w:pPr>
            <w:r w:rsidRPr="008B2527">
              <w:rPr>
                <w:rFonts w:ascii="Times New Roman" w:hAnsi="Times New Roman"/>
                <w:sz w:val="24"/>
                <w:szCs w:val="24"/>
                <w:lang w:val="uk-UA"/>
              </w:rPr>
              <w:t>2009</w:t>
            </w:r>
          </w:p>
        </w:tc>
        <w:tc>
          <w:tcPr>
            <w:tcW w:w="992" w:type="dxa"/>
          </w:tcPr>
          <w:p w:rsidR="00D11B5B" w:rsidRPr="008D2CE1" w:rsidRDefault="00D11B5B">
            <w:pPr>
              <w:jc w:val="center"/>
              <w:rPr>
                <w:rFonts w:ascii="Times New Roman" w:hAnsi="Times New Roman"/>
                <w:sz w:val="24"/>
                <w:szCs w:val="24"/>
                <w:lang w:val="uk-UA"/>
              </w:rPr>
            </w:pPr>
            <w:r w:rsidRPr="008B2527">
              <w:rPr>
                <w:rFonts w:ascii="Times New Roman" w:hAnsi="Times New Roman"/>
                <w:sz w:val="24"/>
                <w:szCs w:val="24"/>
                <w:lang w:val="uk-UA"/>
              </w:rPr>
              <w:t>2010</w:t>
            </w:r>
          </w:p>
        </w:tc>
        <w:tc>
          <w:tcPr>
            <w:tcW w:w="1134" w:type="dxa"/>
          </w:tcPr>
          <w:p w:rsidR="00D11B5B" w:rsidRPr="008D2CE1" w:rsidRDefault="00D11B5B">
            <w:pPr>
              <w:jc w:val="center"/>
              <w:rPr>
                <w:rFonts w:ascii="Times New Roman" w:hAnsi="Times New Roman"/>
                <w:sz w:val="24"/>
                <w:szCs w:val="24"/>
                <w:lang w:val="uk-UA"/>
              </w:rPr>
            </w:pPr>
            <w:r w:rsidRPr="008B2527">
              <w:rPr>
                <w:rFonts w:ascii="Times New Roman" w:hAnsi="Times New Roman"/>
                <w:sz w:val="24"/>
                <w:szCs w:val="24"/>
                <w:lang w:val="uk-UA"/>
              </w:rPr>
              <w:t>2011</w:t>
            </w:r>
          </w:p>
        </w:tc>
        <w:tc>
          <w:tcPr>
            <w:tcW w:w="1276" w:type="dxa"/>
          </w:tcPr>
          <w:p w:rsidR="00D11B5B" w:rsidRPr="008D2CE1" w:rsidRDefault="00D11B5B">
            <w:pPr>
              <w:jc w:val="center"/>
              <w:rPr>
                <w:rFonts w:ascii="Times New Roman" w:hAnsi="Times New Roman"/>
                <w:sz w:val="24"/>
                <w:szCs w:val="24"/>
                <w:lang w:val="uk-UA"/>
              </w:rPr>
            </w:pPr>
            <w:r w:rsidRPr="008B2527">
              <w:rPr>
                <w:rFonts w:ascii="Times New Roman" w:hAnsi="Times New Roman"/>
                <w:sz w:val="24"/>
                <w:szCs w:val="24"/>
                <w:lang w:val="uk-UA"/>
              </w:rPr>
              <w:t>2012</w:t>
            </w:r>
          </w:p>
        </w:tc>
      </w:tr>
      <w:tr w:rsidR="00D11B5B" w:rsidRPr="008B2527" w:rsidTr="00FD75EE">
        <w:tc>
          <w:tcPr>
            <w:tcW w:w="3794" w:type="dxa"/>
          </w:tcPr>
          <w:p w:rsidR="00D11B5B" w:rsidRPr="008D2CE1" w:rsidRDefault="00D11B5B">
            <w:pPr>
              <w:rPr>
                <w:rFonts w:ascii="Times New Roman" w:hAnsi="Times New Roman"/>
                <w:sz w:val="24"/>
                <w:szCs w:val="24"/>
                <w:lang w:val="uk-UA"/>
              </w:rPr>
            </w:pPr>
            <w:r w:rsidRPr="008B2527">
              <w:rPr>
                <w:rFonts w:ascii="Times New Roman" w:hAnsi="Times New Roman"/>
                <w:sz w:val="24"/>
                <w:szCs w:val="24"/>
                <w:lang w:val="uk-UA"/>
              </w:rPr>
              <w:t xml:space="preserve"> Обсяг витрат, тис. грн.</w:t>
            </w:r>
          </w:p>
        </w:tc>
        <w:tc>
          <w:tcPr>
            <w:tcW w:w="1134" w:type="dxa"/>
          </w:tcPr>
          <w:p w:rsidR="00D11B5B" w:rsidRPr="008D2CE1" w:rsidRDefault="00D11B5B">
            <w:pPr>
              <w:jc w:val="center"/>
              <w:rPr>
                <w:rFonts w:ascii="Times New Roman" w:hAnsi="Times New Roman"/>
                <w:sz w:val="24"/>
                <w:szCs w:val="24"/>
                <w:lang w:val="uk-UA"/>
              </w:rPr>
            </w:pPr>
            <w:r w:rsidRPr="008B2527">
              <w:rPr>
                <w:rFonts w:ascii="Times New Roman" w:hAnsi="Times New Roman"/>
                <w:sz w:val="24"/>
                <w:szCs w:val="24"/>
                <w:lang w:val="uk-UA"/>
              </w:rPr>
              <w:t>2863</w:t>
            </w:r>
          </w:p>
        </w:tc>
        <w:tc>
          <w:tcPr>
            <w:tcW w:w="1134" w:type="dxa"/>
          </w:tcPr>
          <w:p w:rsidR="00D11B5B" w:rsidRPr="008D2CE1" w:rsidRDefault="00D11B5B">
            <w:pPr>
              <w:jc w:val="center"/>
              <w:rPr>
                <w:rFonts w:ascii="Times New Roman" w:hAnsi="Times New Roman"/>
                <w:sz w:val="24"/>
                <w:szCs w:val="24"/>
                <w:lang w:val="uk-UA"/>
              </w:rPr>
            </w:pPr>
            <w:r w:rsidRPr="008B2527">
              <w:rPr>
                <w:rFonts w:ascii="Times New Roman" w:hAnsi="Times New Roman"/>
                <w:sz w:val="24"/>
                <w:szCs w:val="24"/>
                <w:lang w:val="uk-UA"/>
              </w:rPr>
              <w:t>3746</w:t>
            </w:r>
          </w:p>
        </w:tc>
        <w:tc>
          <w:tcPr>
            <w:tcW w:w="992" w:type="dxa"/>
          </w:tcPr>
          <w:p w:rsidR="00D11B5B" w:rsidRPr="008D2CE1" w:rsidRDefault="00D11B5B">
            <w:pPr>
              <w:jc w:val="center"/>
              <w:rPr>
                <w:rFonts w:ascii="Times New Roman" w:hAnsi="Times New Roman"/>
                <w:sz w:val="24"/>
                <w:szCs w:val="24"/>
                <w:lang w:val="uk-UA"/>
              </w:rPr>
            </w:pPr>
            <w:r w:rsidRPr="008B2527">
              <w:rPr>
                <w:rFonts w:ascii="Times New Roman" w:hAnsi="Times New Roman"/>
                <w:sz w:val="24"/>
                <w:szCs w:val="24"/>
                <w:lang w:val="uk-UA"/>
              </w:rPr>
              <w:t>4934</w:t>
            </w:r>
          </w:p>
        </w:tc>
        <w:tc>
          <w:tcPr>
            <w:tcW w:w="1134" w:type="dxa"/>
          </w:tcPr>
          <w:p w:rsidR="00D11B5B" w:rsidRPr="008D2CE1" w:rsidRDefault="00D11B5B">
            <w:pPr>
              <w:jc w:val="center"/>
              <w:rPr>
                <w:rFonts w:ascii="Times New Roman" w:hAnsi="Times New Roman"/>
                <w:sz w:val="24"/>
                <w:szCs w:val="24"/>
                <w:lang w:val="uk-UA"/>
              </w:rPr>
            </w:pPr>
            <w:r w:rsidRPr="008B2527">
              <w:rPr>
                <w:rFonts w:ascii="Times New Roman" w:hAnsi="Times New Roman"/>
                <w:sz w:val="24"/>
                <w:szCs w:val="24"/>
                <w:lang w:val="uk-UA"/>
              </w:rPr>
              <w:t>6098,7</w:t>
            </w:r>
          </w:p>
        </w:tc>
        <w:tc>
          <w:tcPr>
            <w:tcW w:w="1276" w:type="dxa"/>
          </w:tcPr>
          <w:p w:rsidR="00D11B5B" w:rsidRPr="008D2CE1" w:rsidRDefault="00D11B5B">
            <w:pPr>
              <w:jc w:val="center"/>
              <w:rPr>
                <w:rFonts w:ascii="Times New Roman" w:hAnsi="Times New Roman"/>
                <w:sz w:val="24"/>
                <w:szCs w:val="24"/>
                <w:lang w:val="uk-UA"/>
              </w:rPr>
            </w:pPr>
            <w:r w:rsidRPr="008B2527">
              <w:rPr>
                <w:rFonts w:ascii="Times New Roman" w:hAnsi="Times New Roman"/>
                <w:sz w:val="24"/>
                <w:szCs w:val="24"/>
                <w:lang w:val="uk-UA"/>
              </w:rPr>
              <w:t>8055,2</w:t>
            </w:r>
          </w:p>
        </w:tc>
      </w:tr>
      <w:tr w:rsidR="00D11B5B" w:rsidRPr="008B2527" w:rsidTr="00FD75EE">
        <w:tc>
          <w:tcPr>
            <w:tcW w:w="3794" w:type="dxa"/>
          </w:tcPr>
          <w:p w:rsidR="00D11B5B" w:rsidRPr="008D2CE1" w:rsidRDefault="00D11B5B">
            <w:pPr>
              <w:rPr>
                <w:rFonts w:ascii="Times New Roman" w:hAnsi="Times New Roman"/>
                <w:sz w:val="24"/>
                <w:szCs w:val="24"/>
                <w:lang w:val="uk-UA"/>
              </w:rPr>
            </w:pPr>
            <w:r w:rsidRPr="008B2527">
              <w:rPr>
                <w:rFonts w:ascii="Times New Roman" w:hAnsi="Times New Roman"/>
                <w:sz w:val="24"/>
                <w:szCs w:val="24"/>
                <w:lang w:val="uk-UA"/>
              </w:rPr>
              <w:t xml:space="preserve"> Фінансовий результат, тис. грн.</w:t>
            </w:r>
          </w:p>
        </w:tc>
        <w:tc>
          <w:tcPr>
            <w:tcW w:w="1134" w:type="dxa"/>
          </w:tcPr>
          <w:p w:rsidR="00D11B5B" w:rsidRPr="008D2CE1" w:rsidRDefault="00D11B5B">
            <w:pPr>
              <w:jc w:val="center"/>
              <w:rPr>
                <w:rFonts w:ascii="Times New Roman" w:hAnsi="Times New Roman"/>
                <w:sz w:val="24"/>
                <w:szCs w:val="24"/>
                <w:lang w:val="uk-UA"/>
              </w:rPr>
            </w:pPr>
            <w:r w:rsidRPr="008B2527">
              <w:rPr>
                <w:rFonts w:ascii="Times New Roman" w:hAnsi="Times New Roman"/>
                <w:sz w:val="24"/>
                <w:szCs w:val="24"/>
                <w:lang w:val="uk-UA"/>
              </w:rPr>
              <w:t>+4,3</w:t>
            </w:r>
          </w:p>
        </w:tc>
        <w:tc>
          <w:tcPr>
            <w:tcW w:w="1134" w:type="dxa"/>
          </w:tcPr>
          <w:p w:rsidR="00D11B5B" w:rsidRPr="008D2CE1" w:rsidRDefault="00D11B5B">
            <w:pPr>
              <w:jc w:val="center"/>
              <w:rPr>
                <w:rFonts w:ascii="Times New Roman" w:hAnsi="Times New Roman"/>
                <w:sz w:val="24"/>
                <w:szCs w:val="24"/>
                <w:lang w:val="uk-UA"/>
              </w:rPr>
            </w:pPr>
            <w:r w:rsidRPr="008B2527">
              <w:rPr>
                <w:rFonts w:ascii="Times New Roman" w:hAnsi="Times New Roman"/>
                <w:sz w:val="24"/>
                <w:szCs w:val="24"/>
                <w:lang w:val="uk-UA"/>
              </w:rPr>
              <w:t>+21,1</w:t>
            </w:r>
          </w:p>
        </w:tc>
        <w:tc>
          <w:tcPr>
            <w:tcW w:w="992" w:type="dxa"/>
          </w:tcPr>
          <w:p w:rsidR="00D11B5B" w:rsidRPr="008D2CE1" w:rsidRDefault="00D11B5B">
            <w:pPr>
              <w:jc w:val="center"/>
              <w:rPr>
                <w:rFonts w:ascii="Times New Roman" w:hAnsi="Times New Roman"/>
                <w:sz w:val="24"/>
                <w:szCs w:val="24"/>
                <w:lang w:val="uk-UA"/>
              </w:rPr>
            </w:pPr>
            <w:r w:rsidRPr="008B2527">
              <w:rPr>
                <w:rFonts w:ascii="Times New Roman" w:hAnsi="Times New Roman"/>
                <w:sz w:val="24"/>
                <w:szCs w:val="24"/>
                <w:lang w:val="uk-UA"/>
              </w:rPr>
              <w:t>-2003</w:t>
            </w:r>
          </w:p>
        </w:tc>
        <w:tc>
          <w:tcPr>
            <w:tcW w:w="1134" w:type="dxa"/>
          </w:tcPr>
          <w:p w:rsidR="00D11B5B" w:rsidRPr="008D2CE1" w:rsidRDefault="00D11B5B">
            <w:pPr>
              <w:jc w:val="center"/>
              <w:rPr>
                <w:rFonts w:ascii="Times New Roman" w:hAnsi="Times New Roman"/>
                <w:sz w:val="24"/>
                <w:szCs w:val="24"/>
                <w:lang w:val="uk-UA"/>
              </w:rPr>
            </w:pPr>
            <w:r w:rsidRPr="008B2527">
              <w:rPr>
                <w:rFonts w:ascii="Times New Roman" w:hAnsi="Times New Roman"/>
                <w:sz w:val="24"/>
                <w:szCs w:val="24"/>
                <w:lang w:val="uk-UA"/>
              </w:rPr>
              <w:t>-3079,9</w:t>
            </w:r>
          </w:p>
        </w:tc>
        <w:tc>
          <w:tcPr>
            <w:tcW w:w="1276" w:type="dxa"/>
          </w:tcPr>
          <w:p w:rsidR="00D11B5B" w:rsidRPr="008D2CE1" w:rsidRDefault="00D11B5B">
            <w:pPr>
              <w:jc w:val="center"/>
              <w:rPr>
                <w:rFonts w:ascii="Times New Roman" w:hAnsi="Times New Roman"/>
                <w:sz w:val="24"/>
                <w:szCs w:val="24"/>
                <w:lang w:val="uk-UA"/>
              </w:rPr>
            </w:pPr>
            <w:r w:rsidRPr="008B2527">
              <w:rPr>
                <w:rFonts w:ascii="Times New Roman" w:hAnsi="Times New Roman"/>
                <w:sz w:val="24"/>
                <w:szCs w:val="24"/>
                <w:lang w:val="uk-UA"/>
              </w:rPr>
              <w:t>-2583</w:t>
            </w:r>
          </w:p>
        </w:tc>
      </w:tr>
    </w:tbl>
    <w:p w:rsidR="00D11B5B" w:rsidRDefault="00D11B5B" w:rsidP="009A1559">
      <w:pPr>
        <w:spacing w:after="0"/>
        <w:ind w:firstLine="709"/>
        <w:jc w:val="both"/>
        <w:rPr>
          <w:rFonts w:ascii="Times New Roman" w:hAnsi="Times New Roman"/>
          <w:sz w:val="24"/>
          <w:szCs w:val="24"/>
          <w:lang w:val="uk-UA"/>
        </w:rPr>
      </w:pPr>
    </w:p>
    <w:p w:rsidR="00D11B5B" w:rsidRDefault="00D11B5B" w:rsidP="009A1559">
      <w:pPr>
        <w:spacing w:after="0"/>
        <w:ind w:firstLine="709"/>
        <w:jc w:val="both"/>
        <w:rPr>
          <w:rFonts w:ascii="Times New Roman" w:hAnsi="Times New Roman"/>
          <w:sz w:val="24"/>
          <w:szCs w:val="24"/>
          <w:lang w:val="uk-UA"/>
        </w:rPr>
      </w:pPr>
      <w:r w:rsidRPr="002579B6">
        <w:rPr>
          <w:rFonts w:ascii="Times New Roman" w:hAnsi="Times New Roman"/>
          <w:sz w:val="24"/>
          <w:szCs w:val="24"/>
          <w:lang w:val="uk-UA"/>
        </w:rPr>
        <w:t>Згідно з Наказом Міністерства з питань житлово-комунального господарства України від 30.07.2010</w:t>
      </w:r>
      <w:r w:rsidR="00502D63">
        <w:rPr>
          <w:rFonts w:ascii="Times New Roman" w:hAnsi="Times New Roman"/>
          <w:sz w:val="24"/>
          <w:szCs w:val="24"/>
          <w:lang w:val="uk-UA"/>
        </w:rPr>
        <w:t xml:space="preserve"> № 259</w:t>
      </w:r>
      <w:r w:rsidRPr="002579B6">
        <w:rPr>
          <w:rFonts w:ascii="Times New Roman" w:hAnsi="Times New Roman"/>
          <w:sz w:val="24"/>
          <w:szCs w:val="24"/>
          <w:lang w:val="uk-UA"/>
        </w:rPr>
        <w:t xml:space="preserve"> «Про затвердження Правил визначення норм надання послуг з вивезення побутових відходів »  норми переглядаються один раз на 5 років.</w:t>
      </w:r>
      <w:r>
        <w:rPr>
          <w:rFonts w:ascii="Times New Roman" w:hAnsi="Times New Roman"/>
          <w:sz w:val="24"/>
          <w:szCs w:val="24"/>
          <w:lang w:val="uk-UA"/>
        </w:rPr>
        <w:t xml:space="preserve"> </w:t>
      </w:r>
      <w:r w:rsidRPr="00EB1F38">
        <w:rPr>
          <w:rFonts w:ascii="Times New Roman" w:hAnsi="Times New Roman"/>
          <w:sz w:val="24"/>
          <w:szCs w:val="24"/>
          <w:lang w:val="uk-UA"/>
        </w:rPr>
        <w:t>Крім того, отримано листа від Міністерства регіонального розвитку, будівництва  та  житлово-комунального господарства України від 16.10.2012 року № 7/21-16681 про необхідність перегляду норм накопичення, які повинні переглядатися один раз на 5 років. У противному випадку, Державна екологічна інспекція України, яка здійснює контроль за додержанням вимог законодавства у сфері поводження з відходами наділена повноваженнями  видавати приписи та розпорядження, невиконання  яких тягне за собою  відповідальність у вигляді штрафних санкцій та притягненням  до відповідальності  посадових осіб. Таким чином виникла необхідність перегляду норм накопичення ТПВ  в місті Димитрові, тому як  останній раз вони  переглядалися 7 років тому.</w:t>
      </w:r>
    </w:p>
    <w:p w:rsidR="00D11B5B" w:rsidRDefault="00D11B5B" w:rsidP="009A1559">
      <w:pPr>
        <w:spacing w:after="0"/>
        <w:ind w:firstLine="709"/>
        <w:jc w:val="both"/>
        <w:rPr>
          <w:rFonts w:ascii="Times New Roman" w:hAnsi="Times New Roman"/>
          <w:sz w:val="24"/>
          <w:szCs w:val="24"/>
          <w:lang w:val="uk-UA"/>
        </w:rPr>
      </w:pPr>
      <w:r>
        <w:rPr>
          <w:rFonts w:ascii="Times New Roman" w:hAnsi="Times New Roman"/>
          <w:sz w:val="24"/>
          <w:szCs w:val="24"/>
          <w:lang w:val="uk-UA"/>
        </w:rPr>
        <w:t>Визначена проблема не може бути вирішена</w:t>
      </w:r>
      <w:r w:rsidRPr="00113286">
        <w:rPr>
          <w:rFonts w:ascii="Times New Roman" w:hAnsi="Times New Roman"/>
          <w:sz w:val="24"/>
          <w:szCs w:val="24"/>
        </w:rPr>
        <w:t xml:space="preserve"> за </w:t>
      </w:r>
      <w:r w:rsidRPr="009A1559">
        <w:rPr>
          <w:rFonts w:ascii="Times New Roman" w:hAnsi="Times New Roman"/>
          <w:sz w:val="24"/>
          <w:szCs w:val="24"/>
          <w:lang w:val="uk-UA"/>
        </w:rPr>
        <w:t>допомогою ринкового механізму,</w:t>
      </w:r>
      <w:r>
        <w:rPr>
          <w:rFonts w:ascii="Times New Roman" w:hAnsi="Times New Roman"/>
          <w:sz w:val="24"/>
          <w:szCs w:val="24"/>
          <w:lang w:val="uk-UA"/>
        </w:rPr>
        <w:t xml:space="preserve"> так як чинне законодавство чітко визначає повноваження органу місцевого самоврядування щодо затвердження норм надання послуг з вивезення побутових відходів – ст.30 підпункт 16 пункту  «а» ЗУ «Про місцеве самоврядування в Україні».</w:t>
      </w:r>
    </w:p>
    <w:p w:rsidR="00D11B5B" w:rsidRDefault="00D11B5B" w:rsidP="009A1559">
      <w:pPr>
        <w:spacing w:after="0"/>
        <w:ind w:firstLine="709"/>
        <w:jc w:val="both"/>
        <w:rPr>
          <w:rFonts w:ascii="Times New Roman" w:hAnsi="Times New Roman"/>
          <w:sz w:val="24"/>
          <w:szCs w:val="24"/>
          <w:lang w:val="uk-UA"/>
        </w:rPr>
      </w:pPr>
    </w:p>
    <w:p w:rsidR="00D11B5B" w:rsidRPr="009A1559" w:rsidRDefault="00D11B5B" w:rsidP="009A1559">
      <w:pPr>
        <w:spacing w:after="0"/>
        <w:ind w:firstLine="709"/>
        <w:jc w:val="both"/>
        <w:rPr>
          <w:rFonts w:ascii="Times New Roman" w:hAnsi="Times New Roman"/>
          <w:sz w:val="24"/>
          <w:szCs w:val="24"/>
          <w:lang w:val="uk-UA"/>
        </w:rPr>
      </w:pPr>
    </w:p>
    <w:p w:rsidR="00D11B5B" w:rsidRPr="007554D0" w:rsidRDefault="00D11B5B" w:rsidP="007554D0">
      <w:pPr>
        <w:jc w:val="both"/>
        <w:rPr>
          <w:rFonts w:ascii="Times New Roman" w:hAnsi="Times New Roman"/>
          <w:b/>
          <w:sz w:val="24"/>
          <w:szCs w:val="24"/>
          <w:lang w:val="uk-UA"/>
        </w:rPr>
      </w:pPr>
      <w:r>
        <w:rPr>
          <w:rFonts w:ascii="Times New Roman" w:hAnsi="Times New Roman"/>
          <w:b/>
          <w:sz w:val="24"/>
          <w:szCs w:val="24"/>
          <w:lang w:val="uk-UA"/>
        </w:rPr>
        <w:lastRenderedPageBreak/>
        <w:t>2.</w:t>
      </w:r>
      <w:r w:rsidRPr="007554D0">
        <w:rPr>
          <w:rFonts w:ascii="Times New Roman" w:hAnsi="Times New Roman"/>
          <w:b/>
          <w:sz w:val="24"/>
          <w:szCs w:val="24"/>
          <w:lang w:val="uk-UA"/>
        </w:rPr>
        <w:t>Визначенн</w:t>
      </w:r>
      <w:r>
        <w:rPr>
          <w:rFonts w:ascii="Times New Roman" w:hAnsi="Times New Roman"/>
          <w:b/>
          <w:sz w:val="24"/>
          <w:szCs w:val="24"/>
          <w:lang w:val="uk-UA"/>
        </w:rPr>
        <w:t>я цілі</w:t>
      </w:r>
      <w:r w:rsidRPr="007554D0">
        <w:rPr>
          <w:rFonts w:ascii="Times New Roman" w:hAnsi="Times New Roman"/>
          <w:b/>
          <w:sz w:val="24"/>
          <w:szCs w:val="24"/>
          <w:lang w:val="uk-UA"/>
        </w:rPr>
        <w:t xml:space="preserve"> </w:t>
      </w:r>
    </w:p>
    <w:p w:rsidR="00D11B5B" w:rsidRDefault="00D11B5B" w:rsidP="00A50A4D">
      <w:pPr>
        <w:spacing w:after="0"/>
        <w:ind w:firstLine="360"/>
        <w:jc w:val="both"/>
        <w:rPr>
          <w:rFonts w:ascii="Times New Roman" w:hAnsi="Times New Roman"/>
          <w:sz w:val="24"/>
          <w:szCs w:val="24"/>
          <w:lang w:val="uk-UA"/>
        </w:rPr>
      </w:pPr>
      <w:r w:rsidRPr="00F156DC">
        <w:rPr>
          <w:rFonts w:ascii="Times New Roman" w:hAnsi="Times New Roman"/>
          <w:sz w:val="24"/>
          <w:szCs w:val="24"/>
          <w:lang w:val="uk-UA"/>
        </w:rPr>
        <w:t xml:space="preserve">Для приведення норм утворення твердих побутових відходів у відповідність </w:t>
      </w:r>
      <w:r>
        <w:rPr>
          <w:rFonts w:ascii="Times New Roman" w:hAnsi="Times New Roman"/>
          <w:sz w:val="24"/>
          <w:szCs w:val="24"/>
          <w:lang w:val="uk-UA"/>
        </w:rPr>
        <w:t>до фактичного їх обсягу утворення, поліпшення фінансового стану підприємства, забезпечення якісного та безперебійного надання послуг з вивезення та захоронення ТПВ  пропонується два способи  вирішення проблеми.</w:t>
      </w:r>
    </w:p>
    <w:p w:rsidR="00D11B5B" w:rsidRPr="00064B8B" w:rsidRDefault="00D11B5B" w:rsidP="00A50A4D">
      <w:pPr>
        <w:spacing w:after="0"/>
        <w:jc w:val="both"/>
        <w:rPr>
          <w:rFonts w:ascii="Times New Roman" w:hAnsi="Times New Roman"/>
          <w:sz w:val="24"/>
          <w:szCs w:val="24"/>
          <w:lang w:val="uk-UA"/>
        </w:rPr>
      </w:pPr>
      <w:r>
        <w:rPr>
          <w:rFonts w:ascii="Times New Roman" w:hAnsi="Times New Roman"/>
          <w:b/>
          <w:sz w:val="24"/>
          <w:szCs w:val="24"/>
          <w:lang w:val="uk-UA"/>
        </w:rPr>
        <w:t>2.1.</w:t>
      </w:r>
      <w:r w:rsidRPr="007554D0">
        <w:rPr>
          <w:rFonts w:ascii="Times New Roman" w:hAnsi="Times New Roman"/>
          <w:sz w:val="24"/>
          <w:szCs w:val="24"/>
          <w:lang w:val="uk-UA"/>
        </w:rPr>
        <w:t>Забезпечити виконання послуг з санітарної очистки, виходячи з діючих норм утворення твердих побутових відходів, тобто зберегти існуючі умови.</w:t>
      </w:r>
    </w:p>
    <w:p w:rsidR="00D11B5B" w:rsidRDefault="00D11B5B" w:rsidP="00A50A4D">
      <w:pPr>
        <w:spacing w:after="0"/>
        <w:jc w:val="both"/>
        <w:rPr>
          <w:rFonts w:ascii="Times New Roman" w:hAnsi="Times New Roman"/>
          <w:sz w:val="24"/>
          <w:szCs w:val="24"/>
          <w:lang w:val="uk-UA"/>
        </w:rPr>
      </w:pPr>
      <w:r w:rsidRPr="00064B8B">
        <w:rPr>
          <w:rFonts w:ascii="Times New Roman" w:hAnsi="Times New Roman"/>
          <w:b/>
          <w:sz w:val="24"/>
          <w:szCs w:val="24"/>
          <w:lang w:val="uk-UA"/>
        </w:rPr>
        <w:t>2.2.</w:t>
      </w:r>
      <w:r>
        <w:rPr>
          <w:rFonts w:ascii="Times New Roman" w:hAnsi="Times New Roman"/>
          <w:b/>
          <w:sz w:val="24"/>
          <w:szCs w:val="24"/>
          <w:lang w:val="uk-UA"/>
        </w:rPr>
        <w:t xml:space="preserve"> </w:t>
      </w:r>
      <w:r w:rsidRPr="00ED63FD">
        <w:rPr>
          <w:rFonts w:ascii="Times New Roman" w:hAnsi="Times New Roman"/>
          <w:sz w:val="24"/>
          <w:szCs w:val="24"/>
          <w:lang w:val="uk-UA"/>
        </w:rPr>
        <w:t>Перегляд норм утворення</w:t>
      </w:r>
      <w:r>
        <w:rPr>
          <w:rFonts w:ascii="Times New Roman" w:hAnsi="Times New Roman"/>
          <w:b/>
          <w:sz w:val="24"/>
          <w:szCs w:val="24"/>
          <w:lang w:val="uk-UA"/>
        </w:rPr>
        <w:t xml:space="preserve"> </w:t>
      </w:r>
      <w:r>
        <w:rPr>
          <w:rFonts w:ascii="Times New Roman" w:hAnsi="Times New Roman"/>
          <w:sz w:val="24"/>
          <w:szCs w:val="24"/>
          <w:lang w:val="uk-UA"/>
        </w:rPr>
        <w:t>твердих побутових відходів для кожного джерела утворення відходів.</w:t>
      </w:r>
    </w:p>
    <w:p w:rsidR="00D11B5B" w:rsidRDefault="00D11B5B" w:rsidP="007554D0">
      <w:pPr>
        <w:jc w:val="both"/>
        <w:rPr>
          <w:rFonts w:ascii="Times New Roman" w:hAnsi="Times New Roman"/>
          <w:b/>
          <w:sz w:val="24"/>
          <w:szCs w:val="24"/>
          <w:lang w:val="uk-UA"/>
        </w:rPr>
      </w:pPr>
      <w:r>
        <w:rPr>
          <w:rFonts w:ascii="Times New Roman" w:hAnsi="Times New Roman"/>
          <w:b/>
          <w:sz w:val="24"/>
          <w:szCs w:val="24"/>
          <w:lang w:val="uk-UA"/>
        </w:rPr>
        <w:t>3.</w:t>
      </w:r>
      <w:r w:rsidRPr="007554D0">
        <w:rPr>
          <w:rFonts w:ascii="Times New Roman" w:hAnsi="Times New Roman"/>
          <w:b/>
          <w:sz w:val="24"/>
          <w:szCs w:val="24"/>
          <w:lang w:val="uk-UA"/>
        </w:rPr>
        <w:t>Оцінка  альтернативних способів досягнення цілей</w:t>
      </w:r>
    </w:p>
    <w:p w:rsidR="00D11B5B" w:rsidRDefault="00D11B5B" w:rsidP="00C4788C">
      <w:pPr>
        <w:spacing w:after="0"/>
        <w:jc w:val="both"/>
        <w:rPr>
          <w:rFonts w:ascii="Times New Roman" w:hAnsi="Times New Roman"/>
          <w:sz w:val="24"/>
          <w:szCs w:val="24"/>
          <w:lang w:val="uk-UA"/>
        </w:rPr>
      </w:pPr>
      <w:r w:rsidRPr="00ED63FD">
        <w:rPr>
          <w:rFonts w:ascii="Times New Roman" w:hAnsi="Times New Roman"/>
          <w:b/>
          <w:sz w:val="24"/>
          <w:szCs w:val="24"/>
          <w:lang w:val="uk-UA"/>
        </w:rPr>
        <w:t>3.1</w:t>
      </w:r>
      <w:r>
        <w:rPr>
          <w:rFonts w:ascii="Times New Roman" w:hAnsi="Times New Roman"/>
          <w:sz w:val="24"/>
          <w:szCs w:val="24"/>
          <w:lang w:val="uk-UA"/>
        </w:rPr>
        <w:t>.</w:t>
      </w:r>
      <w:r w:rsidRPr="00064B8B">
        <w:rPr>
          <w:rFonts w:ascii="Times New Roman" w:hAnsi="Times New Roman"/>
          <w:sz w:val="24"/>
          <w:szCs w:val="24"/>
          <w:lang w:val="uk-UA"/>
        </w:rPr>
        <w:t>Вирішення про</w:t>
      </w:r>
      <w:r>
        <w:rPr>
          <w:rFonts w:ascii="Times New Roman" w:hAnsi="Times New Roman"/>
          <w:sz w:val="24"/>
          <w:szCs w:val="24"/>
          <w:lang w:val="uk-UA"/>
        </w:rPr>
        <w:t xml:space="preserve">блеми першим способом неможливо, оскільки така альтернатива є неприйнятною та суперечить чинному законодавству. Перегляд норм утворення необхідно проводити один раз на 5 років, тобто діючі норми є застарілими та підлягають негайному перегляду. </w:t>
      </w:r>
    </w:p>
    <w:p w:rsidR="00D11B5B" w:rsidRDefault="00D11B5B" w:rsidP="00C4788C">
      <w:pPr>
        <w:spacing w:after="0"/>
        <w:jc w:val="both"/>
        <w:rPr>
          <w:rFonts w:ascii="Times New Roman" w:hAnsi="Times New Roman"/>
          <w:sz w:val="24"/>
          <w:szCs w:val="24"/>
          <w:lang w:val="uk-UA"/>
        </w:rPr>
      </w:pPr>
      <w:r w:rsidRPr="00ED63FD">
        <w:rPr>
          <w:rFonts w:ascii="Times New Roman" w:hAnsi="Times New Roman"/>
          <w:b/>
          <w:sz w:val="24"/>
          <w:szCs w:val="24"/>
          <w:lang w:val="uk-UA"/>
        </w:rPr>
        <w:t>3.2.</w:t>
      </w:r>
      <w:r>
        <w:rPr>
          <w:rFonts w:ascii="Times New Roman" w:hAnsi="Times New Roman"/>
          <w:b/>
          <w:sz w:val="24"/>
          <w:szCs w:val="24"/>
          <w:lang w:val="uk-UA"/>
        </w:rPr>
        <w:t xml:space="preserve"> </w:t>
      </w:r>
      <w:r w:rsidRPr="00ED63FD">
        <w:rPr>
          <w:rFonts w:ascii="Times New Roman" w:hAnsi="Times New Roman"/>
          <w:sz w:val="24"/>
          <w:szCs w:val="24"/>
          <w:lang w:val="uk-UA"/>
        </w:rPr>
        <w:t>Необхідно</w:t>
      </w:r>
      <w:r w:rsidRPr="00ED63FD">
        <w:rPr>
          <w:rFonts w:ascii="Times New Roman" w:hAnsi="Times New Roman"/>
          <w:b/>
          <w:sz w:val="24"/>
          <w:szCs w:val="24"/>
          <w:lang w:val="uk-UA"/>
        </w:rPr>
        <w:t xml:space="preserve"> </w:t>
      </w:r>
      <w:r>
        <w:rPr>
          <w:rFonts w:ascii="Times New Roman" w:hAnsi="Times New Roman"/>
          <w:sz w:val="24"/>
          <w:szCs w:val="24"/>
          <w:lang w:val="uk-UA"/>
        </w:rPr>
        <w:t>п</w:t>
      </w:r>
      <w:r w:rsidRPr="00064B8B">
        <w:rPr>
          <w:rFonts w:ascii="Times New Roman" w:hAnsi="Times New Roman"/>
          <w:sz w:val="24"/>
          <w:szCs w:val="24"/>
          <w:lang w:val="uk-UA"/>
        </w:rPr>
        <w:t>ровести вимірювання кількості твердих побутових відходів на об’єктах їх утворення для кожного джерела утворення згідно з Наказом Міністерства  з питань житлово-комунального господарства України від 30.07.2010 № 259 «Про затвердження норм надання послуг з вивезення побутових відходів», тобто привести норми утворення у відповідність до чинного законодавства.</w:t>
      </w:r>
      <w:r>
        <w:rPr>
          <w:rFonts w:ascii="Times New Roman" w:hAnsi="Times New Roman"/>
          <w:sz w:val="24"/>
          <w:szCs w:val="24"/>
          <w:lang w:val="uk-UA"/>
        </w:rPr>
        <w:t xml:space="preserve"> </w:t>
      </w:r>
    </w:p>
    <w:p w:rsidR="00D11B5B" w:rsidRDefault="00D11B5B" w:rsidP="00ED63FD">
      <w:pPr>
        <w:jc w:val="both"/>
        <w:rPr>
          <w:rFonts w:ascii="Times New Roman" w:hAnsi="Times New Roman"/>
          <w:sz w:val="24"/>
          <w:szCs w:val="24"/>
          <w:lang w:val="uk-UA"/>
        </w:rPr>
      </w:pPr>
      <w:r>
        <w:rPr>
          <w:rFonts w:ascii="Times New Roman" w:hAnsi="Times New Roman"/>
          <w:sz w:val="24"/>
          <w:szCs w:val="24"/>
          <w:lang w:val="uk-UA"/>
        </w:rPr>
        <w:t>З двох запропонованих  способів досягнення цілей регуляторного акту, ДБОКГ пропонує перегляд діючих норм накопичення ТПВ, оскільки іншого шляху вирішення проблеми не існує.</w:t>
      </w:r>
    </w:p>
    <w:p w:rsidR="00D11B5B" w:rsidRDefault="00D11B5B" w:rsidP="00ED63FD">
      <w:pPr>
        <w:jc w:val="both"/>
        <w:rPr>
          <w:rFonts w:ascii="Times New Roman" w:hAnsi="Times New Roman"/>
          <w:b/>
          <w:sz w:val="24"/>
          <w:szCs w:val="24"/>
          <w:lang w:val="uk-UA"/>
        </w:rPr>
      </w:pPr>
      <w:r w:rsidRPr="00E67B16">
        <w:rPr>
          <w:rFonts w:ascii="Times New Roman" w:hAnsi="Times New Roman"/>
          <w:b/>
          <w:sz w:val="24"/>
          <w:szCs w:val="24"/>
          <w:lang w:val="uk-UA"/>
        </w:rPr>
        <w:t>4.</w:t>
      </w:r>
      <w:r>
        <w:rPr>
          <w:rFonts w:ascii="Times New Roman" w:hAnsi="Times New Roman"/>
          <w:b/>
          <w:sz w:val="24"/>
          <w:szCs w:val="24"/>
          <w:lang w:val="uk-UA"/>
        </w:rPr>
        <w:t xml:space="preserve"> Захід, що забезпечить вирішення проблеми</w:t>
      </w:r>
    </w:p>
    <w:p w:rsidR="00D11B5B" w:rsidRDefault="00D11B5B" w:rsidP="00A50A4D">
      <w:pPr>
        <w:spacing w:after="0"/>
        <w:jc w:val="both"/>
        <w:rPr>
          <w:rFonts w:ascii="Times New Roman" w:hAnsi="Times New Roman"/>
          <w:sz w:val="24"/>
          <w:szCs w:val="24"/>
          <w:lang w:val="uk-UA"/>
        </w:rPr>
      </w:pPr>
      <w:r>
        <w:rPr>
          <w:rFonts w:ascii="Times New Roman" w:hAnsi="Times New Roman"/>
          <w:sz w:val="24"/>
          <w:szCs w:val="24"/>
          <w:lang w:val="uk-UA"/>
        </w:rPr>
        <w:t>Підприємство пропонує :</w:t>
      </w:r>
    </w:p>
    <w:p w:rsidR="00D11B5B" w:rsidRDefault="00D11B5B" w:rsidP="00A50A4D">
      <w:pPr>
        <w:spacing w:after="0"/>
        <w:ind w:firstLine="708"/>
        <w:jc w:val="both"/>
        <w:rPr>
          <w:rFonts w:ascii="Times New Roman" w:hAnsi="Times New Roman"/>
          <w:sz w:val="24"/>
          <w:szCs w:val="24"/>
          <w:lang w:val="uk-UA"/>
        </w:rPr>
      </w:pPr>
      <w:r>
        <w:rPr>
          <w:rFonts w:ascii="Times New Roman" w:hAnsi="Times New Roman"/>
          <w:sz w:val="24"/>
          <w:szCs w:val="24"/>
          <w:lang w:val="uk-UA"/>
        </w:rPr>
        <w:t xml:space="preserve">Відповідно до ст. 7 ЗУ «Про відходи», ст.7  ЗУ «Про житлово-комунальні послуги», згідно Наказу Міністерства </w:t>
      </w:r>
      <w:r w:rsidRPr="00064B8B">
        <w:rPr>
          <w:rFonts w:ascii="Times New Roman" w:hAnsi="Times New Roman"/>
          <w:sz w:val="24"/>
          <w:szCs w:val="24"/>
          <w:lang w:val="uk-UA"/>
        </w:rPr>
        <w:t>з питань житлово-комунального господарства України від 30.07.2010 № 259 «Про затвердження норм надання послуг з вивезення побутових відходів»</w:t>
      </w:r>
      <w:r>
        <w:rPr>
          <w:rFonts w:ascii="Times New Roman" w:hAnsi="Times New Roman"/>
          <w:sz w:val="24"/>
          <w:szCs w:val="24"/>
          <w:lang w:val="uk-UA"/>
        </w:rPr>
        <w:t>, керуючись ст. 30 ЗУ «Про місцеве самоврядування в Україні» затвердити та ввести в дію норми утворення твердих побутових відходів в місті Димитрові  на підставі вимірювання їх кількості спеціально створеною комісією .</w:t>
      </w:r>
    </w:p>
    <w:p w:rsidR="00D11B5B" w:rsidRDefault="00D11B5B" w:rsidP="009A1559">
      <w:pPr>
        <w:spacing w:after="0"/>
        <w:ind w:firstLine="708"/>
        <w:jc w:val="both"/>
        <w:rPr>
          <w:rFonts w:ascii="Times New Roman" w:hAnsi="Times New Roman"/>
          <w:sz w:val="24"/>
          <w:szCs w:val="24"/>
          <w:lang w:val="uk-UA"/>
        </w:rPr>
      </w:pPr>
      <w:r>
        <w:rPr>
          <w:rFonts w:ascii="Times New Roman" w:hAnsi="Times New Roman"/>
          <w:sz w:val="24"/>
          <w:szCs w:val="24"/>
          <w:lang w:val="uk-UA"/>
        </w:rPr>
        <w:t xml:space="preserve">Рішенням виконавчого комітету </w:t>
      </w:r>
      <w:proofErr w:type="spellStart"/>
      <w:r>
        <w:rPr>
          <w:rFonts w:ascii="Times New Roman" w:hAnsi="Times New Roman"/>
          <w:sz w:val="24"/>
          <w:szCs w:val="24"/>
          <w:lang w:val="uk-UA"/>
        </w:rPr>
        <w:t>Димитровської</w:t>
      </w:r>
      <w:proofErr w:type="spellEnd"/>
      <w:r>
        <w:rPr>
          <w:rFonts w:ascii="Times New Roman" w:hAnsi="Times New Roman"/>
          <w:sz w:val="24"/>
          <w:szCs w:val="24"/>
          <w:lang w:val="uk-UA"/>
        </w:rPr>
        <w:t xml:space="preserve"> міської ради від 21.08.2013 № 297 «Про створення комісії з визначення норм надання послуг з вивезення побутових відходів на території міста Димитрова» була створена комісія, який було доручено провести вимірювання кількості твердих побутових відходів прискореним методом - протягом одного сезону року з урахуванням коефіцієнта сезонної нерівномірності утворення ТПВ та за результатами вимірювання розробити норми надання послуг з вивезення побутових відходів та подати їх на затвердження виконавчому комітету міської ради. Комісія у затвердженому рішенням складі, протягом 7 діб здійснювала вимірювання кількості твердих побутових відходів шляхом проведення вимірів об</w:t>
      </w:r>
      <w:r w:rsidRPr="00E75A2B">
        <w:rPr>
          <w:rFonts w:ascii="Times New Roman" w:hAnsi="Times New Roman"/>
          <w:sz w:val="24"/>
          <w:szCs w:val="24"/>
          <w:lang w:val="uk-UA"/>
        </w:rPr>
        <w:t>’</w:t>
      </w:r>
      <w:r>
        <w:rPr>
          <w:rFonts w:ascii="Times New Roman" w:hAnsi="Times New Roman"/>
          <w:sz w:val="24"/>
          <w:szCs w:val="24"/>
          <w:lang w:val="uk-UA"/>
        </w:rPr>
        <w:t xml:space="preserve">ємів та маси ТПВ для кожного джерела утворення відходів. Результати вимірювання були оформлені відповідними протоколами комісії. На підставі результатів вимірювання підприємством ДБОКГ було розроблено проект рішення «Про затвердження норм утворення твердих побутових </w:t>
      </w:r>
      <w:r>
        <w:rPr>
          <w:rFonts w:ascii="Times New Roman" w:hAnsi="Times New Roman"/>
          <w:sz w:val="24"/>
          <w:szCs w:val="24"/>
          <w:lang w:val="uk-UA"/>
        </w:rPr>
        <w:lastRenderedPageBreak/>
        <w:t xml:space="preserve">відходів в місті Димитрові» та подано до виконавчого комітету </w:t>
      </w:r>
      <w:proofErr w:type="spellStart"/>
      <w:r>
        <w:rPr>
          <w:rFonts w:ascii="Times New Roman" w:hAnsi="Times New Roman"/>
          <w:sz w:val="24"/>
          <w:szCs w:val="24"/>
          <w:lang w:val="uk-UA"/>
        </w:rPr>
        <w:t>Димитровської</w:t>
      </w:r>
      <w:proofErr w:type="spellEnd"/>
      <w:r>
        <w:rPr>
          <w:rFonts w:ascii="Times New Roman" w:hAnsi="Times New Roman"/>
          <w:sz w:val="24"/>
          <w:szCs w:val="24"/>
          <w:lang w:val="uk-UA"/>
        </w:rPr>
        <w:t xml:space="preserve"> міської ради.</w:t>
      </w:r>
    </w:p>
    <w:p w:rsidR="00D11B5B" w:rsidRPr="009A1559" w:rsidRDefault="00D11B5B" w:rsidP="009A1559">
      <w:pPr>
        <w:spacing w:after="0"/>
        <w:ind w:firstLine="708"/>
        <w:jc w:val="both"/>
        <w:rPr>
          <w:rFonts w:ascii="Times New Roman" w:hAnsi="Times New Roman"/>
          <w:sz w:val="24"/>
          <w:szCs w:val="24"/>
          <w:lang w:val="uk-UA"/>
        </w:rPr>
      </w:pPr>
    </w:p>
    <w:p w:rsidR="00D11B5B" w:rsidRDefault="00D11B5B" w:rsidP="00E91F90">
      <w:pPr>
        <w:spacing w:after="0"/>
        <w:jc w:val="both"/>
        <w:rPr>
          <w:rFonts w:ascii="Times New Roman" w:hAnsi="Times New Roman"/>
          <w:b/>
          <w:sz w:val="24"/>
          <w:szCs w:val="24"/>
          <w:lang w:val="uk-UA"/>
        </w:rPr>
      </w:pPr>
      <w:r w:rsidRPr="00AF797D">
        <w:rPr>
          <w:rFonts w:ascii="Times New Roman" w:hAnsi="Times New Roman"/>
          <w:b/>
          <w:sz w:val="24"/>
          <w:szCs w:val="24"/>
          <w:lang w:val="uk-UA"/>
        </w:rPr>
        <w:t xml:space="preserve">5. </w:t>
      </w:r>
      <w:r>
        <w:rPr>
          <w:rFonts w:ascii="Times New Roman" w:hAnsi="Times New Roman"/>
          <w:b/>
          <w:sz w:val="24"/>
          <w:szCs w:val="24"/>
          <w:lang w:val="uk-UA"/>
        </w:rPr>
        <w:t xml:space="preserve">Очікувані результати від прийняття регуляторного акта </w:t>
      </w:r>
    </w:p>
    <w:p w:rsidR="00D11B5B" w:rsidRPr="00AF797D" w:rsidRDefault="00D11B5B" w:rsidP="00E91F90">
      <w:pPr>
        <w:spacing w:after="0"/>
        <w:jc w:val="both"/>
        <w:rPr>
          <w:rFonts w:ascii="Times New Roman" w:hAnsi="Times New Roman"/>
          <w:b/>
          <w:sz w:val="24"/>
          <w:szCs w:val="24"/>
          <w:lang w:val="uk-UA"/>
        </w:rPr>
      </w:pPr>
    </w:p>
    <w:p w:rsidR="00D11B5B" w:rsidRDefault="00D11B5B" w:rsidP="00A50A4D">
      <w:pPr>
        <w:spacing w:after="0"/>
        <w:ind w:firstLine="708"/>
        <w:jc w:val="both"/>
        <w:rPr>
          <w:rFonts w:ascii="Times New Roman" w:hAnsi="Times New Roman"/>
          <w:sz w:val="24"/>
          <w:szCs w:val="24"/>
          <w:lang w:val="uk-UA"/>
        </w:rPr>
      </w:pPr>
      <w:r>
        <w:rPr>
          <w:rFonts w:ascii="Times New Roman" w:hAnsi="Times New Roman"/>
          <w:sz w:val="24"/>
          <w:szCs w:val="24"/>
          <w:lang w:val="uk-UA"/>
        </w:rPr>
        <w:t>Перегляд норм утворення ТПВ та приведення їх до фактичного обсягу утворення дозволить забезпечити безперебійну роботу підприємства з надання послуг з вивезення ТПВ, поліпшити фінансовий стан підприємства, сприятиме зменшенню створення на території міста безхазяйних стихійних звалищ, матиме позитивний вплив на охорону навколишнього середовища та санітарного стану міста. Отримання додаткового прибутку від перегляду норм утворення дозволить підприємству забезпечити придбання сучасних сміттєвозів.</w:t>
      </w:r>
    </w:p>
    <w:p w:rsidR="00D11B5B" w:rsidRDefault="00D11B5B" w:rsidP="00A50A4D">
      <w:pPr>
        <w:spacing w:after="0"/>
        <w:jc w:val="center"/>
        <w:rPr>
          <w:rFonts w:ascii="Times New Roman" w:hAnsi="Times New Roman"/>
          <w:b/>
          <w:sz w:val="24"/>
          <w:szCs w:val="24"/>
          <w:lang w:val="uk-UA"/>
        </w:rPr>
      </w:pPr>
      <w:r w:rsidRPr="00C4788C">
        <w:rPr>
          <w:rFonts w:ascii="Times New Roman" w:hAnsi="Times New Roman"/>
          <w:b/>
          <w:sz w:val="24"/>
          <w:szCs w:val="24"/>
          <w:lang w:val="uk-UA"/>
        </w:rPr>
        <w:t>Таблиця вигод та витрат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
        <w:gridCol w:w="3969"/>
        <w:gridCol w:w="6"/>
        <w:gridCol w:w="15"/>
        <w:gridCol w:w="90"/>
        <w:gridCol w:w="4390"/>
      </w:tblGrid>
      <w:tr w:rsidR="00D11B5B" w:rsidRPr="008B2527" w:rsidTr="008B2527">
        <w:tc>
          <w:tcPr>
            <w:tcW w:w="1101" w:type="dxa"/>
          </w:tcPr>
          <w:p w:rsidR="00D11B5B" w:rsidRPr="008B2527" w:rsidRDefault="00D11B5B" w:rsidP="008B2527">
            <w:pPr>
              <w:spacing w:after="0" w:line="240" w:lineRule="auto"/>
              <w:jc w:val="center"/>
              <w:rPr>
                <w:rFonts w:ascii="Times New Roman" w:hAnsi="Times New Roman"/>
                <w:b/>
                <w:sz w:val="24"/>
                <w:szCs w:val="24"/>
                <w:lang w:val="uk-UA"/>
              </w:rPr>
            </w:pPr>
            <w:r w:rsidRPr="008B2527">
              <w:rPr>
                <w:rFonts w:ascii="Times New Roman" w:hAnsi="Times New Roman"/>
                <w:b/>
                <w:sz w:val="24"/>
                <w:szCs w:val="24"/>
                <w:lang w:val="uk-UA"/>
              </w:rPr>
              <w:t>№ п/</w:t>
            </w:r>
            <w:proofErr w:type="spellStart"/>
            <w:r w:rsidRPr="008B2527">
              <w:rPr>
                <w:rFonts w:ascii="Times New Roman" w:hAnsi="Times New Roman"/>
                <w:b/>
                <w:sz w:val="24"/>
                <w:szCs w:val="24"/>
                <w:lang w:val="uk-UA"/>
              </w:rPr>
              <w:t>п</w:t>
            </w:r>
            <w:proofErr w:type="spellEnd"/>
          </w:p>
        </w:tc>
        <w:tc>
          <w:tcPr>
            <w:tcW w:w="3969" w:type="dxa"/>
          </w:tcPr>
          <w:p w:rsidR="00D11B5B" w:rsidRPr="008B2527" w:rsidRDefault="00D11B5B" w:rsidP="008B2527">
            <w:pPr>
              <w:spacing w:after="0" w:line="240" w:lineRule="auto"/>
              <w:jc w:val="center"/>
              <w:rPr>
                <w:rFonts w:ascii="Times New Roman" w:hAnsi="Times New Roman"/>
                <w:b/>
                <w:sz w:val="24"/>
                <w:szCs w:val="24"/>
                <w:lang w:val="uk-UA"/>
              </w:rPr>
            </w:pPr>
            <w:r w:rsidRPr="008B2527">
              <w:rPr>
                <w:rFonts w:ascii="Times New Roman" w:hAnsi="Times New Roman"/>
                <w:b/>
                <w:sz w:val="24"/>
                <w:szCs w:val="24"/>
                <w:lang w:val="uk-UA"/>
              </w:rPr>
              <w:t>ВИГОДИ</w:t>
            </w:r>
          </w:p>
        </w:tc>
        <w:tc>
          <w:tcPr>
            <w:tcW w:w="4501" w:type="dxa"/>
            <w:gridSpan w:val="4"/>
          </w:tcPr>
          <w:p w:rsidR="00D11B5B" w:rsidRPr="008B2527" w:rsidRDefault="00D11B5B" w:rsidP="008B2527">
            <w:pPr>
              <w:spacing w:after="0" w:line="240" w:lineRule="auto"/>
              <w:jc w:val="center"/>
              <w:rPr>
                <w:rFonts w:ascii="Times New Roman" w:hAnsi="Times New Roman"/>
                <w:b/>
                <w:sz w:val="24"/>
                <w:szCs w:val="24"/>
                <w:lang w:val="uk-UA"/>
              </w:rPr>
            </w:pPr>
            <w:r w:rsidRPr="008B2527">
              <w:rPr>
                <w:rFonts w:ascii="Times New Roman" w:hAnsi="Times New Roman"/>
                <w:b/>
                <w:sz w:val="24"/>
                <w:szCs w:val="24"/>
                <w:lang w:val="uk-UA"/>
              </w:rPr>
              <w:t>ВИТРАТИ</w:t>
            </w:r>
          </w:p>
        </w:tc>
      </w:tr>
      <w:tr w:rsidR="00D11B5B" w:rsidRPr="008B2527" w:rsidTr="008B2527">
        <w:tc>
          <w:tcPr>
            <w:tcW w:w="1101" w:type="dxa"/>
          </w:tcPr>
          <w:p w:rsidR="00D11B5B" w:rsidRPr="008B2527" w:rsidRDefault="00D11B5B" w:rsidP="008B2527">
            <w:pPr>
              <w:spacing w:after="0" w:line="240" w:lineRule="auto"/>
              <w:jc w:val="center"/>
              <w:rPr>
                <w:rFonts w:ascii="Times New Roman" w:hAnsi="Times New Roman"/>
                <w:b/>
                <w:sz w:val="24"/>
                <w:szCs w:val="24"/>
                <w:lang w:val="uk-UA"/>
              </w:rPr>
            </w:pPr>
          </w:p>
        </w:tc>
        <w:tc>
          <w:tcPr>
            <w:tcW w:w="8470" w:type="dxa"/>
            <w:gridSpan w:val="5"/>
          </w:tcPr>
          <w:p w:rsidR="00D11B5B" w:rsidRPr="008B2527" w:rsidRDefault="00D11B5B" w:rsidP="008B2527">
            <w:pPr>
              <w:spacing w:after="0" w:line="240" w:lineRule="auto"/>
              <w:jc w:val="center"/>
              <w:rPr>
                <w:rFonts w:ascii="Times New Roman" w:hAnsi="Times New Roman"/>
                <w:b/>
                <w:sz w:val="24"/>
                <w:szCs w:val="24"/>
                <w:lang w:val="uk-UA"/>
              </w:rPr>
            </w:pPr>
            <w:r w:rsidRPr="008B2527">
              <w:rPr>
                <w:rFonts w:ascii="Times New Roman" w:hAnsi="Times New Roman"/>
                <w:b/>
                <w:sz w:val="24"/>
                <w:szCs w:val="24"/>
                <w:lang w:val="uk-UA"/>
              </w:rPr>
              <w:t>СФЕРА ІНТЕРЕСІВ ДЕРЖАВИ</w:t>
            </w:r>
          </w:p>
        </w:tc>
      </w:tr>
      <w:tr w:rsidR="00D11B5B" w:rsidRPr="008B2527" w:rsidTr="008B2527">
        <w:tc>
          <w:tcPr>
            <w:tcW w:w="1101" w:type="dxa"/>
          </w:tcPr>
          <w:p w:rsidR="00D11B5B" w:rsidRPr="008B2527" w:rsidRDefault="00D11B5B" w:rsidP="008B2527">
            <w:pPr>
              <w:spacing w:after="0" w:line="240" w:lineRule="auto"/>
              <w:jc w:val="center"/>
              <w:rPr>
                <w:rFonts w:ascii="Times New Roman" w:hAnsi="Times New Roman"/>
                <w:b/>
                <w:sz w:val="24"/>
                <w:szCs w:val="24"/>
                <w:lang w:val="uk-UA"/>
              </w:rPr>
            </w:pPr>
            <w:r w:rsidRPr="008B2527">
              <w:rPr>
                <w:rFonts w:ascii="Times New Roman" w:hAnsi="Times New Roman"/>
                <w:b/>
                <w:sz w:val="24"/>
                <w:szCs w:val="24"/>
                <w:lang w:val="uk-UA"/>
              </w:rPr>
              <w:t>1.</w:t>
            </w:r>
          </w:p>
        </w:tc>
        <w:tc>
          <w:tcPr>
            <w:tcW w:w="3975" w:type="dxa"/>
            <w:gridSpan w:val="2"/>
            <w:tcBorders>
              <w:right w:val="single" w:sz="4" w:space="0" w:color="auto"/>
            </w:tcBorders>
          </w:tcPr>
          <w:p w:rsidR="00D11B5B" w:rsidRPr="008B2527" w:rsidRDefault="00D11B5B" w:rsidP="008B2527">
            <w:pPr>
              <w:spacing w:after="0" w:line="240" w:lineRule="auto"/>
              <w:rPr>
                <w:rFonts w:ascii="Times New Roman" w:hAnsi="Times New Roman"/>
                <w:sz w:val="24"/>
                <w:szCs w:val="24"/>
                <w:lang w:val="uk-UA"/>
              </w:rPr>
            </w:pPr>
            <w:r w:rsidRPr="008B2527">
              <w:rPr>
                <w:rFonts w:ascii="Times New Roman" w:hAnsi="Times New Roman"/>
                <w:sz w:val="24"/>
                <w:szCs w:val="24"/>
                <w:lang w:val="uk-UA"/>
              </w:rPr>
              <w:t>-  дотримання умов чинного законодавства ;</w:t>
            </w:r>
          </w:p>
          <w:p w:rsidR="00D11B5B" w:rsidRPr="008B2527" w:rsidRDefault="00D11B5B" w:rsidP="008B2527">
            <w:pPr>
              <w:spacing w:after="0" w:line="240" w:lineRule="auto"/>
              <w:rPr>
                <w:rFonts w:ascii="Times New Roman" w:hAnsi="Times New Roman"/>
                <w:sz w:val="24"/>
                <w:szCs w:val="24"/>
                <w:lang w:val="uk-UA"/>
              </w:rPr>
            </w:pPr>
            <w:r w:rsidRPr="008B2527">
              <w:rPr>
                <w:rFonts w:ascii="Times New Roman" w:hAnsi="Times New Roman"/>
                <w:sz w:val="24"/>
                <w:szCs w:val="24"/>
                <w:lang w:val="uk-UA"/>
              </w:rPr>
              <w:t>- збільшення надходжень до місцевого та державного бюджету;</w:t>
            </w:r>
          </w:p>
          <w:p w:rsidR="00D11B5B" w:rsidRPr="008B2527" w:rsidRDefault="00D11B5B" w:rsidP="008B2527">
            <w:pPr>
              <w:spacing w:after="0" w:line="240" w:lineRule="auto"/>
              <w:jc w:val="center"/>
              <w:rPr>
                <w:rFonts w:ascii="Times New Roman" w:hAnsi="Times New Roman"/>
                <w:sz w:val="24"/>
                <w:szCs w:val="24"/>
                <w:lang w:val="uk-UA"/>
              </w:rPr>
            </w:pPr>
          </w:p>
        </w:tc>
        <w:tc>
          <w:tcPr>
            <w:tcW w:w="4495" w:type="dxa"/>
            <w:gridSpan w:val="3"/>
            <w:tcBorders>
              <w:left w:val="single" w:sz="4" w:space="0" w:color="auto"/>
            </w:tcBorders>
          </w:tcPr>
          <w:p w:rsidR="00D11B5B" w:rsidRPr="008B2527" w:rsidRDefault="00D11B5B" w:rsidP="008B2527">
            <w:pPr>
              <w:spacing w:after="0" w:line="240" w:lineRule="auto"/>
              <w:jc w:val="center"/>
              <w:rPr>
                <w:rFonts w:ascii="Times New Roman" w:hAnsi="Times New Roman"/>
                <w:sz w:val="24"/>
                <w:szCs w:val="24"/>
                <w:lang w:val="uk-UA"/>
              </w:rPr>
            </w:pPr>
            <w:r w:rsidRPr="008B2527">
              <w:rPr>
                <w:rFonts w:ascii="Times New Roman" w:hAnsi="Times New Roman"/>
                <w:sz w:val="24"/>
                <w:szCs w:val="24"/>
                <w:lang w:val="uk-UA"/>
              </w:rPr>
              <w:t>Витрати на контроль за виконанням акта</w:t>
            </w:r>
          </w:p>
        </w:tc>
      </w:tr>
      <w:tr w:rsidR="00D11B5B" w:rsidRPr="008B2527" w:rsidTr="008B2527">
        <w:tc>
          <w:tcPr>
            <w:tcW w:w="1101" w:type="dxa"/>
          </w:tcPr>
          <w:p w:rsidR="00D11B5B" w:rsidRPr="008B2527" w:rsidRDefault="00D11B5B" w:rsidP="008B2527">
            <w:pPr>
              <w:spacing w:after="0" w:line="240" w:lineRule="auto"/>
              <w:jc w:val="center"/>
              <w:rPr>
                <w:rFonts w:ascii="Times New Roman" w:hAnsi="Times New Roman"/>
                <w:b/>
                <w:sz w:val="24"/>
                <w:szCs w:val="24"/>
                <w:lang w:val="uk-UA"/>
              </w:rPr>
            </w:pPr>
          </w:p>
        </w:tc>
        <w:tc>
          <w:tcPr>
            <w:tcW w:w="8470" w:type="dxa"/>
            <w:gridSpan w:val="5"/>
          </w:tcPr>
          <w:p w:rsidR="00D11B5B" w:rsidRPr="008B2527" w:rsidRDefault="00D11B5B" w:rsidP="008B2527">
            <w:pPr>
              <w:spacing w:after="0" w:line="240" w:lineRule="auto"/>
              <w:jc w:val="center"/>
              <w:rPr>
                <w:rFonts w:ascii="Times New Roman" w:hAnsi="Times New Roman"/>
                <w:b/>
                <w:sz w:val="24"/>
                <w:szCs w:val="24"/>
                <w:lang w:val="uk-UA"/>
              </w:rPr>
            </w:pPr>
            <w:r w:rsidRPr="008B2527">
              <w:rPr>
                <w:rFonts w:ascii="Times New Roman" w:hAnsi="Times New Roman"/>
                <w:b/>
                <w:sz w:val="24"/>
                <w:szCs w:val="24"/>
                <w:lang w:val="uk-UA"/>
              </w:rPr>
              <w:t>СФЕРА ІНТЕРЕСІВ ПІДПРИЄМСТВА</w:t>
            </w:r>
          </w:p>
        </w:tc>
      </w:tr>
      <w:tr w:rsidR="00D11B5B" w:rsidRPr="008B2527" w:rsidTr="008B2527">
        <w:tc>
          <w:tcPr>
            <w:tcW w:w="1101" w:type="dxa"/>
          </w:tcPr>
          <w:p w:rsidR="00D11B5B" w:rsidRPr="008B2527" w:rsidRDefault="00D11B5B" w:rsidP="008B2527">
            <w:pPr>
              <w:spacing w:after="0" w:line="240" w:lineRule="auto"/>
              <w:jc w:val="center"/>
              <w:rPr>
                <w:rFonts w:ascii="Times New Roman" w:hAnsi="Times New Roman"/>
                <w:b/>
                <w:sz w:val="24"/>
                <w:szCs w:val="24"/>
                <w:lang w:val="uk-UA"/>
              </w:rPr>
            </w:pPr>
            <w:r w:rsidRPr="008B2527">
              <w:rPr>
                <w:rFonts w:ascii="Times New Roman" w:hAnsi="Times New Roman"/>
                <w:b/>
                <w:sz w:val="24"/>
                <w:szCs w:val="24"/>
                <w:lang w:val="uk-UA"/>
              </w:rPr>
              <w:t>2.</w:t>
            </w:r>
          </w:p>
        </w:tc>
        <w:tc>
          <w:tcPr>
            <w:tcW w:w="3990" w:type="dxa"/>
            <w:gridSpan w:val="3"/>
            <w:tcBorders>
              <w:right w:val="single" w:sz="4" w:space="0" w:color="auto"/>
            </w:tcBorders>
          </w:tcPr>
          <w:p w:rsidR="00D11B5B" w:rsidRPr="008B2527" w:rsidRDefault="00D11B5B" w:rsidP="008B2527">
            <w:pPr>
              <w:spacing w:after="0" w:line="240" w:lineRule="auto"/>
              <w:rPr>
                <w:rFonts w:ascii="Times New Roman" w:hAnsi="Times New Roman"/>
                <w:sz w:val="24"/>
                <w:szCs w:val="24"/>
                <w:lang w:val="uk-UA"/>
              </w:rPr>
            </w:pPr>
            <w:r w:rsidRPr="008B2527">
              <w:rPr>
                <w:rFonts w:ascii="Times New Roman" w:hAnsi="Times New Roman"/>
                <w:sz w:val="24"/>
                <w:szCs w:val="24"/>
                <w:lang w:val="uk-UA"/>
              </w:rPr>
              <w:t xml:space="preserve">- збільшення доходів </w:t>
            </w:r>
          </w:p>
          <w:p w:rsidR="00D11B5B" w:rsidRPr="008B2527" w:rsidRDefault="00D11B5B" w:rsidP="008B2527">
            <w:pPr>
              <w:spacing w:after="0" w:line="240" w:lineRule="auto"/>
              <w:rPr>
                <w:rFonts w:ascii="Times New Roman" w:hAnsi="Times New Roman"/>
                <w:sz w:val="24"/>
                <w:szCs w:val="24"/>
                <w:lang w:val="uk-UA"/>
              </w:rPr>
            </w:pPr>
            <w:r w:rsidRPr="008B2527">
              <w:rPr>
                <w:rFonts w:ascii="Times New Roman" w:hAnsi="Times New Roman"/>
                <w:sz w:val="24"/>
                <w:szCs w:val="24"/>
                <w:lang w:val="uk-UA"/>
              </w:rPr>
              <w:t>та покращення фінансово-економічного стану підприємства, зменшення суми збитків від надання послуг;</w:t>
            </w:r>
          </w:p>
          <w:p w:rsidR="00D11B5B" w:rsidRPr="008B2527" w:rsidRDefault="00D11B5B" w:rsidP="008B2527">
            <w:pPr>
              <w:spacing w:after="0" w:line="240" w:lineRule="auto"/>
              <w:rPr>
                <w:rFonts w:ascii="Times New Roman" w:hAnsi="Times New Roman"/>
                <w:sz w:val="24"/>
                <w:szCs w:val="24"/>
                <w:lang w:val="uk-UA"/>
              </w:rPr>
            </w:pPr>
            <w:proofErr w:type="spellStart"/>
            <w:r w:rsidRPr="008B2527">
              <w:rPr>
                <w:rFonts w:ascii="Times New Roman" w:hAnsi="Times New Roman"/>
                <w:sz w:val="24"/>
                <w:szCs w:val="24"/>
                <w:lang w:val="uk-UA"/>
              </w:rPr>
              <w:t>-забезпечення</w:t>
            </w:r>
            <w:proofErr w:type="spellEnd"/>
            <w:r w:rsidRPr="008B2527">
              <w:rPr>
                <w:rFonts w:ascii="Times New Roman" w:hAnsi="Times New Roman"/>
                <w:sz w:val="24"/>
                <w:szCs w:val="24"/>
                <w:lang w:val="uk-UA"/>
              </w:rPr>
              <w:t xml:space="preserve"> безперебійної роботи підприємства;</w:t>
            </w:r>
          </w:p>
        </w:tc>
        <w:tc>
          <w:tcPr>
            <w:tcW w:w="4480" w:type="dxa"/>
            <w:gridSpan w:val="2"/>
            <w:tcBorders>
              <w:left w:val="single" w:sz="4" w:space="0" w:color="auto"/>
            </w:tcBorders>
          </w:tcPr>
          <w:p w:rsidR="00D11B5B" w:rsidRPr="008B2527" w:rsidRDefault="00D11B5B" w:rsidP="008B2527">
            <w:pPr>
              <w:spacing w:after="0" w:line="240" w:lineRule="auto"/>
              <w:jc w:val="center"/>
              <w:rPr>
                <w:rFonts w:ascii="Times New Roman" w:hAnsi="Times New Roman"/>
                <w:sz w:val="24"/>
                <w:szCs w:val="24"/>
                <w:lang w:val="uk-UA"/>
              </w:rPr>
            </w:pPr>
            <w:r w:rsidRPr="008B2527">
              <w:rPr>
                <w:rFonts w:ascii="Times New Roman" w:hAnsi="Times New Roman"/>
                <w:sz w:val="24"/>
                <w:szCs w:val="24"/>
                <w:lang w:val="uk-UA"/>
              </w:rPr>
              <w:t>Витрати на проведення вимірювання</w:t>
            </w:r>
          </w:p>
          <w:p w:rsidR="00D11B5B" w:rsidRPr="008B2527" w:rsidRDefault="00D11B5B" w:rsidP="008B2527">
            <w:pPr>
              <w:spacing w:after="0" w:line="240" w:lineRule="auto"/>
              <w:jc w:val="center"/>
              <w:rPr>
                <w:rFonts w:ascii="Times New Roman" w:hAnsi="Times New Roman"/>
                <w:sz w:val="24"/>
                <w:szCs w:val="24"/>
                <w:lang w:val="uk-UA"/>
              </w:rPr>
            </w:pPr>
            <w:r w:rsidRPr="008B2527">
              <w:rPr>
                <w:rFonts w:ascii="Times New Roman" w:hAnsi="Times New Roman"/>
                <w:sz w:val="24"/>
                <w:szCs w:val="24"/>
                <w:lang w:val="uk-UA"/>
              </w:rPr>
              <w:t>кількості утворення побутових відходів</w:t>
            </w:r>
          </w:p>
          <w:p w:rsidR="00D11B5B" w:rsidRPr="008B2527" w:rsidRDefault="00D11B5B" w:rsidP="008B2527">
            <w:pPr>
              <w:spacing w:after="0" w:line="240" w:lineRule="auto"/>
              <w:jc w:val="center"/>
              <w:rPr>
                <w:rFonts w:ascii="Times New Roman" w:hAnsi="Times New Roman"/>
                <w:sz w:val="24"/>
                <w:szCs w:val="24"/>
                <w:lang w:val="uk-UA"/>
              </w:rPr>
            </w:pPr>
            <w:r w:rsidRPr="008B2527">
              <w:rPr>
                <w:rFonts w:ascii="Times New Roman" w:hAnsi="Times New Roman"/>
                <w:sz w:val="24"/>
                <w:szCs w:val="24"/>
                <w:lang w:val="uk-UA"/>
              </w:rPr>
              <w:t xml:space="preserve">для кожного джерела утворення відходів </w:t>
            </w:r>
          </w:p>
        </w:tc>
      </w:tr>
      <w:tr w:rsidR="00D11B5B" w:rsidRPr="008B2527" w:rsidTr="008B2527">
        <w:tc>
          <w:tcPr>
            <w:tcW w:w="1101" w:type="dxa"/>
          </w:tcPr>
          <w:p w:rsidR="00D11B5B" w:rsidRPr="008B2527" w:rsidRDefault="00D11B5B" w:rsidP="008B2527">
            <w:pPr>
              <w:spacing w:after="0" w:line="240" w:lineRule="auto"/>
              <w:jc w:val="center"/>
              <w:rPr>
                <w:rFonts w:ascii="Times New Roman" w:hAnsi="Times New Roman"/>
                <w:b/>
                <w:sz w:val="24"/>
                <w:szCs w:val="24"/>
                <w:lang w:val="uk-UA"/>
              </w:rPr>
            </w:pPr>
            <w:r w:rsidRPr="008B2527">
              <w:rPr>
                <w:rFonts w:ascii="Times New Roman" w:hAnsi="Times New Roman"/>
                <w:b/>
                <w:sz w:val="24"/>
                <w:szCs w:val="24"/>
                <w:lang w:val="uk-UA"/>
              </w:rPr>
              <w:t>3.</w:t>
            </w:r>
          </w:p>
        </w:tc>
        <w:tc>
          <w:tcPr>
            <w:tcW w:w="8470" w:type="dxa"/>
            <w:gridSpan w:val="5"/>
          </w:tcPr>
          <w:p w:rsidR="00D11B5B" w:rsidRPr="008B2527" w:rsidRDefault="00D11B5B" w:rsidP="008B2527">
            <w:pPr>
              <w:spacing w:after="0" w:line="240" w:lineRule="auto"/>
              <w:jc w:val="center"/>
              <w:rPr>
                <w:rFonts w:ascii="Times New Roman" w:hAnsi="Times New Roman"/>
                <w:b/>
                <w:sz w:val="24"/>
                <w:szCs w:val="24"/>
                <w:lang w:val="uk-UA"/>
              </w:rPr>
            </w:pPr>
            <w:r w:rsidRPr="008B2527">
              <w:rPr>
                <w:rFonts w:ascii="Times New Roman" w:hAnsi="Times New Roman"/>
                <w:b/>
                <w:sz w:val="24"/>
                <w:szCs w:val="24"/>
                <w:lang w:val="uk-UA"/>
              </w:rPr>
              <w:t>СФЕРА ІНТЕРЕСІВ СПОЖИВАЧІВ</w:t>
            </w:r>
          </w:p>
        </w:tc>
      </w:tr>
      <w:tr w:rsidR="00D11B5B" w:rsidRPr="008B2527" w:rsidTr="008B2527">
        <w:tc>
          <w:tcPr>
            <w:tcW w:w="1101" w:type="dxa"/>
          </w:tcPr>
          <w:p w:rsidR="00D11B5B" w:rsidRPr="008B2527" w:rsidRDefault="00D11B5B" w:rsidP="008B2527">
            <w:pPr>
              <w:spacing w:after="0" w:line="240" w:lineRule="auto"/>
              <w:jc w:val="center"/>
              <w:rPr>
                <w:rFonts w:ascii="Times New Roman" w:hAnsi="Times New Roman"/>
                <w:b/>
                <w:sz w:val="24"/>
                <w:szCs w:val="24"/>
                <w:lang w:val="uk-UA"/>
              </w:rPr>
            </w:pPr>
          </w:p>
        </w:tc>
        <w:tc>
          <w:tcPr>
            <w:tcW w:w="4080" w:type="dxa"/>
            <w:gridSpan w:val="4"/>
            <w:tcBorders>
              <w:right w:val="single" w:sz="4" w:space="0" w:color="auto"/>
            </w:tcBorders>
          </w:tcPr>
          <w:p w:rsidR="00D11B5B" w:rsidRPr="008B2527" w:rsidRDefault="00D11B5B" w:rsidP="008B2527">
            <w:pPr>
              <w:spacing w:after="0" w:line="240" w:lineRule="auto"/>
              <w:rPr>
                <w:rFonts w:ascii="Times New Roman" w:hAnsi="Times New Roman"/>
                <w:sz w:val="24"/>
                <w:szCs w:val="24"/>
                <w:lang w:val="uk-UA"/>
              </w:rPr>
            </w:pPr>
            <w:r w:rsidRPr="008B2527">
              <w:rPr>
                <w:rFonts w:ascii="Times New Roman" w:hAnsi="Times New Roman"/>
                <w:sz w:val="24"/>
                <w:szCs w:val="24"/>
                <w:lang w:val="uk-UA"/>
              </w:rPr>
              <w:t xml:space="preserve">- підвищення якості надання послуг, своєчасний вивіз сміття, </w:t>
            </w:r>
          </w:p>
          <w:p w:rsidR="00D11B5B" w:rsidRPr="008B2527" w:rsidRDefault="00D11B5B" w:rsidP="008B2527">
            <w:pPr>
              <w:spacing w:after="0" w:line="240" w:lineRule="auto"/>
              <w:jc w:val="center"/>
              <w:rPr>
                <w:rFonts w:ascii="Times New Roman" w:hAnsi="Times New Roman"/>
                <w:sz w:val="24"/>
                <w:szCs w:val="24"/>
                <w:lang w:val="uk-UA"/>
              </w:rPr>
            </w:pPr>
            <w:r w:rsidRPr="008B2527">
              <w:rPr>
                <w:rFonts w:ascii="Times New Roman" w:hAnsi="Times New Roman"/>
                <w:sz w:val="24"/>
                <w:szCs w:val="24"/>
                <w:lang w:val="uk-UA"/>
              </w:rPr>
              <w:t xml:space="preserve">- утримання санітарного стану міста в належному стані; </w:t>
            </w:r>
          </w:p>
        </w:tc>
        <w:tc>
          <w:tcPr>
            <w:tcW w:w="4390" w:type="dxa"/>
            <w:tcBorders>
              <w:left w:val="single" w:sz="4" w:space="0" w:color="auto"/>
            </w:tcBorders>
          </w:tcPr>
          <w:p w:rsidR="00D11B5B" w:rsidRPr="008B2527" w:rsidRDefault="00D11B5B" w:rsidP="008B2527">
            <w:pPr>
              <w:spacing w:after="0" w:line="240" w:lineRule="auto"/>
              <w:jc w:val="center"/>
              <w:rPr>
                <w:rFonts w:ascii="Times New Roman" w:hAnsi="Times New Roman"/>
                <w:sz w:val="24"/>
                <w:szCs w:val="24"/>
                <w:lang w:val="uk-UA"/>
              </w:rPr>
            </w:pPr>
            <w:r w:rsidRPr="008B2527">
              <w:rPr>
                <w:rFonts w:ascii="Times New Roman" w:hAnsi="Times New Roman"/>
                <w:sz w:val="24"/>
                <w:szCs w:val="24"/>
                <w:lang w:val="uk-UA"/>
              </w:rPr>
              <w:t>Витрати на сплату послуг</w:t>
            </w:r>
          </w:p>
        </w:tc>
      </w:tr>
    </w:tbl>
    <w:p w:rsidR="00D11B5B" w:rsidRDefault="00D11B5B" w:rsidP="00C4788C">
      <w:pPr>
        <w:jc w:val="center"/>
        <w:rPr>
          <w:rFonts w:ascii="Times New Roman" w:hAnsi="Times New Roman"/>
          <w:b/>
          <w:sz w:val="24"/>
          <w:szCs w:val="24"/>
          <w:lang w:val="uk-UA"/>
        </w:rPr>
      </w:pPr>
    </w:p>
    <w:p w:rsidR="00D11B5B" w:rsidRDefault="00D11B5B" w:rsidP="009A1559">
      <w:pPr>
        <w:spacing w:after="0"/>
        <w:rPr>
          <w:rFonts w:ascii="Times New Roman" w:hAnsi="Times New Roman"/>
          <w:b/>
          <w:sz w:val="24"/>
          <w:szCs w:val="24"/>
          <w:lang w:val="uk-UA"/>
        </w:rPr>
      </w:pPr>
      <w:r>
        <w:rPr>
          <w:rFonts w:ascii="Times New Roman" w:hAnsi="Times New Roman"/>
          <w:b/>
          <w:sz w:val="24"/>
          <w:szCs w:val="24"/>
          <w:lang w:val="uk-UA"/>
        </w:rPr>
        <w:t>6. Строк дії регуляторного акту :</w:t>
      </w:r>
    </w:p>
    <w:p w:rsidR="00D11B5B" w:rsidRPr="00C4788C" w:rsidRDefault="00D11B5B" w:rsidP="009A1559">
      <w:pPr>
        <w:spacing w:after="0"/>
        <w:rPr>
          <w:rFonts w:ascii="Times New Roman" w:hAnsi="Times New Roman"/>
          <w:b/>
          <w:sz w:val="24"/>
          <w:szCs w:val="24"/>
          <w:lang w:val="uk-UA"/>
        </w:rPr>
      </w:pPr>
    </w:p>
    <w:p w:rsidR="00D11B5B" w:rsidRDefault="00D11B5B" w:rsidP="009A1559">
      <w:pPr>
        <w:spacing w:after="0"/>
        <w:ind w:firstLine="720"/>
        <w:jc w:val="both"/>
        <w:rPr>
          <w:rFonts w:ascii="Times New Roman" w:hAnsi="Times New Roman"/>
          <w:sz w:val="24"/>
          <w:szCs w:val="24"/>
          <w:lang w:val="uk-UA"/>
        </w:rPr>
      </w:pPr>
      <w:r w:rsidRPr="006C2694">
        <w:rPr>
          <w:rFonts w:ascii="Times New Roman" w:hAnsi="Times New Roman"/>
          <w:sz w:val="24"/>
          <w:szCs w:val="24"/>
          <w:lang w:val="uk-UA"/>
        </w:rPr>
        <w:t>Строк дії регуляторног</w:t>
      </w:r>
      <w:r>
        <w:rPr>
          <w:rFonts w:ascii="Times New Roman" w:hAnsi="Times New Roman"/>
          <w:sz w:val="24"/>
          <w:szCs w:val="24"/>
          <w:lang w:val="uk-UA"/>
        </w:rPr>
        <w:t>о акта – рішення «Про затвердження норм утворення твердих побутових відходів в місті Димитрові»</w:t>
      </w:r>
      <w:r w:rsidRPr="006C2694">
        <w:rPr>
          <w:rFonts w:ascii="Times New Roman" w:hAnsi="Times New Roman"/>
          <w:sz w:val="24"/>
          <w:szCs w:val="24"/>
          <w:lang w:val="uk-UA"/>
        </w:rPr>
        <w:t xml:space="preserve"> є безстроковим, за умови внесення змін у разі виникнення такої потреби, внаслідок зміни чинного законодавства.</w:t>
      </w:r>
    </w:p>
    <w:p w:rsidR="00D11B5B" w:rsidRDefault="00D11B5B" w:rsidP="009A1559">
      <w:pPr>
        <w:spacing w:after="0"/>
        <w:ind w:firstLine="720"/>
        <w:jc w:val="both"/>
        <w:rPr>
          <w:rFonts w:ascii="Times New Roman" w:hAnsi="Times New Roman"/>
          <w:sz w:val="24"/>
          <w:szCs w:val="24"/>
          <w:lang w:val="uk-UA"/>
        </w:rPr>
      </w:pPr>
    </w:p>
    <w:p w:rsidR="00D11B5B" w:rsidRPr="006756E1" w:rsidRDefault="00D11B5B" w:rsidP="006756E1">
      <w:pPr>
        <w:rPr>
          <w:rFonts w:ascii="Times New Roman" w:hAnsi="Times New Roman"/>
          <w:b/>
          <w:sz w:val="24"/>
          <w:szCs w:val="24"/>
          <w:lang w:val="uk-UA"/>
        </w:rPr>
      </w:pPr>
      <w:r w:rsidRPr="006756E1">
        <w:rPr>
          <w:rFonts w:ascii="Times New Roman" w:hAnsi="Times New Roman"/>
          <w:b/>
          <w:sz w:val="24"/>
          <w:szCs w:val="24"/>
          <w:lang w:val="uk-UA"/>
        </w:rPr>
        <w:t>7.Кількість  споживачів послуг, на яких поширюється дія регуляторного акта.</w:t>
      </w:r>
    </w:p>
    <w:p w:rsidR="00D11B5B" w:rsidRDefault="00D11B5B" w:rsidP="00617C34">
      <w:pPr>
        <w:spacing w:after="0"/>
        <w:rPr>
          <w:rFonts w:ascii="Times New Roman" w:hAnsi="Times New Roman"/>
          <w:sz w:val="24"/>
          <w:szCs w:val="24"/>
          <w:lang w:val="uk-UA"/>
        </w:rPr>
      </w:pPr>
      <w:r w:rsidRPr="006756E1">
        <w:rPr>
          <w:rFonts w:ascii="Times New Roman" w:hAnsi="Times New Roman"/>
          <w:sz w:val="24"/>
          <w:szCs w:val="24"/>
          <w:lang w:val="uk-UA"/>
        </w:rPr>
        <w:t xml:space="preserve">Населення </w:t>
      </w:r>
      <w:r>
        <w:rPr>
          <w:rFonts w:ascii="Times New Roman" w:hAnsi="Times New Roman"/>
          <w:sz w:val="24"/>
          <w:szCs w:val="24"/>
          <w:lang w:val="uk-UA"/>
        </w:rPr>
        <w:t>– держсектор та приватний сектор – 44892 чол.</w:t>
      </w:r>
    </w:p>
    <w:p w:rsidR="00D11B5B" w:rsidRDefault="00D11B5B" w:rsidP="00617C34">
      <w:pPr>
        <w:spacing w:after="0"/>
        <w:rPr>
          <w:rFonts w:ascii="Times New Roman" w:hAnsi="Times New Roman"/>
          <w:sz w:val="24"/>
          <w:szCs w:val="24"/>
          <w:lang w:val="uk-UA"/>
        </w:rPr>
      </w:pPr>
      <w:r>
        <w:rPr>
          <w:rFonts w:ascii="Times New Roman" w:hAnsi="Times New Roman"/>
          <w:sz w:val="24"/>
          <w:szCs w:val="24"/>
          <w:lang w:val="uk-UA"/>
        </w:rPr>
        <w:t>Бюджетні установи та організації – 18 одиниць</w:t>
      </w:r>
    </w:p>
    <w:p w:rsidR="00D11B5B" w:rsidRDefault="00D11B5B" w:rsidP="00617C34">
      <w:pPr>
        <w:spacing w:after="0"/>
        <w:rPr>
          <w:rFonts w:ascii="Times New Roman" w:hAnsi="Times New Roman"/>
          <w:sz w:val="24"/>
          <w:szCs w:val="24"/>
          <w:lang w:val="uk-UA"/>
        </w:rPr>
      </w:pPr>
      <w:r>
        <w:rPr>
          <w:rFonts w:ascii="Times New Roman" w:hAnsi="Times New Roman"/>
          <w:sz w:val="24"/>
          <w:szCs w:val="24"/>
          <w:lang w:val="uk-UA"/>
        </w:rPr>
        <w:t>Інші споживачі ( приватні підприємства, підприємці) – 371одиниця</w:t>
      </w:r>
    </w:p>
    <w:p w:rsidR="00D11B5B" w:rsidRDefault="00D11B5B" w:rsidP="00617C34">
      <w:pPr>
        <w:spacing w:after="0"/>
        <w:rPr>
          <w:rFonts w:ascii="Times New Roman" w:hAnsi="Times New Roman"/>
          <w:sz w:val="24"/>
          <w:szCs w:val="24"/>
          <w:lang w:val="uk-UA"/>
        </w:rPr>
      </w:pPr>
    </w:p>
    <w:p w:rsidR="00D11B5B" w:rsidRDefault="00D11B5B" w:rsidP="00FF57FC">
      <w:pPr>
        <w:jc w:val="both"/>
        <w:rPr>
          <w:rFonts w:ascii="Times New Roman" w:hAnsi="Times New Roman"/>
          <w:b/>
          <w:sz w:val="24"/>
          <w:szCs w:val="24"/>
          <w:lang w:val="uk-UA"/>
        </w:rPr>
      </w:pPr>
    </w:p>
    <w:p w:rsidR="00D11B5B" w:rsidRDefault="00D11B5B" w:rsidP="00FF57FC">
      <w:pPr>
        <w:jc w:val="both"/>
        <w:rPr>
          <w:rFonts w:ascii="Times New Roman" w:hAnsi="Times New Roman"/>
          <w:b/>
          <w:sz w:val="24"/>
          <w:szCs w:val="24"/>
          <w:lang w:val="uk-UA"/>
        </w:rPr>
      </w:pPr>
      <w:r w:rsidRPr="00FF57FC">
        <w:rPr>
          <w:rFonts w:ascii="Times New Roman" w:hAnsi="Times New Roman"/>
          <w:b/>
          <w:sz w:val="24"/>
          <w:szCs w:val="24"/>
          <w:lang w:val="uk-UA"/>
        </w:rPr>
        <w:lastRenderedPageBreak/>
        <w:t>8. Визначення показників результативності регуляторного акта.</w:t>
      </w:r>
    </w:p>
    <w:p w:rsidR="00D11B5B" w:rsidRDefault="00D11B5B" w:rsidP="00617C34">
      <w:pPr>
        <w:jc w:val="both"/>
        <w:rPr>
          <w:rFonts w:ascii="Times New Roman" w:hAnsi="Times New Roman"/>
          <w:sz w:val="24"/>
          <w:szCs w:val="24"/>
          <w:lang w:val="uk-UA"/>
        </w:rPr>
      </w:pPr>
      <w:r w:rsidRPr="00617C34">
        <w:rPr>
          <w:rFonts w:ascii="Times New Roman" w:hAnsi="Times New Roman"/>
          <w:sz w:val="24"/>
          <w:szCs w:val="24"/>
          <w:lang w:val="uk-UA"/>
        </w:rPr>
        <w:t xml:space="preserve">У результаті впровадження </w:t>
      </w:r>
      <w:r>
        <w:rPr>
          <w:rFonts w:ascii="Times New Roman" w:hAnsi="Times New Roman"/>
          <w:sz w:val="24"/>
          <w:szCs w:val="24"/>
          <w:lang w:val="uk-UA"/>
        </w:rPr>
        <w:t>регуляторного акта будуть досліджуватися та вивчатися  щорічно наступні статистичні показники:</w:t>
      </w:r>
    </w:p>
    <w:p w:rsidR="00D11B5B" w:rsidRDefault="00D11B5B" w:rsidP="00617C34">
      <w:pPr>
        <w:pStyle w:val="a3"/>
        <w:numPr>
          <w:ilvl w:val="0"/>
          <w:numId w:val="12"/>
        </w:numPr>
        <w:jc w:val="both"/>
        <w:rPr>
          <w:rFonts w:ascii="Times New Roman" w:hAnsi="Times New Roman"/>
          <w:sz w:val="24"/>
          <w:szCs w:val="24"/>
          <w:lang w:val="uk-UA"/>
        </w:rPr>
      </w:pPr>
      <w:r>
        <w:rPr>
          <w:rFonts w:ascii="Times New Roman" w:hAnsi="Times New Roman"/>
          <w:sz w:val="24"/>
          <w:szCs w:val="24"/>
          <w:lang w:val="uk-UA"/>
        </w:rPr>
        <w:t>Об</w:t>
      </w:r>
      <w:r w:rsidRPr="00700731">
        <w:rPr>
          <w:rFonts w:ascii="Times New Roman" w:hAnsi="Times New Roman"/>
          <w:sz w:val="24"/>
          <w:szCs w:val="24"/>
        </w:rPr>
        <w:t>’</w:t>
      </w:r>
      <w:proofErr w:type="spellStart"/>
      <w:r>
        <w:rPr>
          <w:rFonts w:ascii="Times New Roman" w:hAnsi="Times New Roman"/>
          <w:sz w:val="24"/>
          <w:szCs w:val="24"/>
          <w:lang w:val="uk-UA"/>
        </w:rPr>
        <w:t>єм</w:t>
      </w:r>
      <w:proofErr w:type="spellEnd"/>
      <w:r>
        <w:rPr>
          <w:rFonts w:ascii="Times New Roman" w:hAnsi="Times New Roman"/>
          <w:sz w:val="24"/>
          <w:szCs w:val="24"/>
          <w:lang w:val="uk-UA"/>
        </w:rPr>
        <w:t xml:space="preserve"> вивезення та захоронення ТПВ.</w:t>
      </w:r>
    </w:p>
    <w:p w:rsidR="00D11B5B" w:rsidRDefault="00D11B5B" w:rsidP="00617C34">
      <w:pPr>
        <w:pStyle w:val="a3"/>
        <w:numPr>
          <w:ilvl w:val="0"/>
          <w:numId w:val="12"/>
        </w:numPr>
        <w:jc w:val="both"/>
        <w:rPr>
          <w:rFonts w:ascii="Times New Roman" w:hAnsi="Times New Roman"/>
          <w:sz w:val="24"/>
          <w:szCs w:val="24"/>
          <w:lang w:val="uk-UA"/>
        </w:rPr>
      </w:pPr>
      <w:r>
        <w:rPr>
          <w:rFonts w:ascii="Times New Roman" w:hAnsi="Times New Roman"/>
          <w:sz w:val="24"/>
          <w:szCs w:val="24"/>
          <w:lang w:val="uk-UA"/>
        </w:rPr>
        <w:t>Кількість споживачів, з якими були заключні договори на надання послуг з вивезення та захоронення ТПВ.</w:t>
      </w:r>
    </w:p>
    <w:p w:rsidR="00D11B5B" w:rsidRDefault="00D11B5B" w:rsidP="00617C34">
      <w:pPr>
        <w:pStyle w:val="a3"/>
        <w:numPr>
          <w:ilvl w:val="0"/>
          <w:numId w:val="12"/>
        </w:numPr>
        <w:jc w:val="both"/>
        <w:rPr>
          <w:rFonts w:ascii="Times New Roman" w:hAnsi="Times New Roman"/>
          <w:sz w:val="24"/>
          <w:szCs w:val="24"/>
          <w:lang w:val="uk-UA"/>
        </w:rPr>
      </w:pPr>
      <w:r>
        <w:rPr>
          <w:rFonts w:ascii="Times New Roman" w:hAnsi="Times New Roman"/>
          <w:sz w:val="24"/>
          <w:szCs w:val="24"/>
          <w:lang w:val="uk-UA"/>
        </w:rPr>
        <w:t>Показники фінансово-економічної діяльності підприємства – доходи, витрати, фінансови</w:t>
      </w:r>
      <w:bookmarkStart w:id="0" w:name="_GoBack"/>
      <w:bookmarkEnd w:id="0"/>
      <w:r>
        <w:rPr>
          <w:rFonts w:ascii="Times New Roman" w:hAnsi="Times New Roman"/>
          <w:sz w:val="24"/>
          <w:szCs w:val="24"/>
          <w:lang w:val="uk-UA"/>
        </w:rPr>
        <w:t>й результат ( прибуток чи збиток).</w:t>
      </w:r>
    </w:p>
    <w:p w:rsidR="00D11B5B" w:rsidRDefault="00D11B5B" w:rsidP="00FF57FC">
      <w:pPr>
        <w:pStyle w:val="a3"/>
        <w:numPr>
          <w:ilvl w:val="0"/>
          <w:numId w:val="12"/>
        </w:numPr>
        <w:jc w:val="both"/>
        <w:rPr>
          <w:rFonts w:ascii="Times New Roman" w:hAnsi="Times New Roman"/>
          <w:sz w:val="24"/>
          <w:szCs w:val="24"/>
          <w:lang w:val="uk-UA"/>
        </w:rPr>
      </w:pPr>
      <w:r>
        <w:rPr>
          <w:rFonts w:ascii="Times New Roman" w:hAnsi="Times New Roman"/>
          <w:sz w:val="24"/>
          <w:szCs w:val="24"/>
          <w:lang w:val="uk-UA"/>
        </w:rPr>
        <w:t>Рівень відшкодування витрат на надання послуг з вивезення та захоронення ТПВ.</w:t>
      </w:r>
    </w:p>
    <w:p w:rsidR="00D11B5B" w:rsidRDefault="00D11B5B" w:rsidP="00FF57FC">
      <w:pPr>
        <w:pStyle w:val="a3"/>
        <w:numPr>
          <w:ilvl w:val="0"/>
          <w:numId w:val="12"/>
        </w:numPr>
        <w:jc w:val="both"/>
        <w:rPr>
          <w:rFonts w:ascii="Times New Roman" w:hAnsi="Times New Roman"/>
          <w:sz w:val="24"/>
          <w:szCs w:val="24"/>
          <w:lang w:val="uk-UA"/>
        </w:rPr>
      </w:pPr>
      <w:r>
        <w:rPr>
          <w:rFonts w:ascii="Times New Roman" w:hAnsi="Times New Roman"/>
          <w:sz w:val="24"/>
          <w:szCs w:val="24"/>
          <w:lang w:val="uk-UA"/>
        </w:rPr>
        <w:t>Рівень оплати послуг із вивезення та захоронення ТПВ.</w:t>
      </w:r>
    </w:p>
    <w:p w:rsidR="00D11B5B" w:rsidRPr="00700731" w:rsidRDefault="00D11B5B" w:rsidP="00FF57FC">
      <w:pPr>
        <w:pStyle w:val="a3"/>
        <w:numPr>
          <w:ilvl w:val="0"/>
          <w:numId w:val="12"/>
        </w:numPr>
        <w:jc w:val="both"/>
        <w:rPr>
          <w:rFonts w:ascii="Times New Roman" w:hAnsi="Times New Roman"/>
          <w:sz w:val="24"/>
          <w:szCs w:val="24"/>
          <w:lang w:val="uk-UA"/>
        </w:rPr>
      </w:pPr>
      <w:r>
        <w:rPr>
          <w:rFonts w:ascii="Times New Roman" w:hAnsi="Times New Roman"/>
          <w:sz w:val="24"/>
          <w:szCs w:val="24"/>
          <w:lang w:val="uk-UA"/>
        </w:rPr>
        <w:t>Показники якості надання послуг – кількість звернень громадян з питання неякісного та несвоєчасного надання послуг з вивезення ТПВ.</w:t>
      </w:r>
    </w:p>
    <w:p w:rsidR="00D11B5B" w:rsidRPr="00FF57FC" w:rsidRDefault="00D11B5B" w:rsidP="00FF57FC">
      <w:pPr>
        <w:jc w:val="both"/>
        <w:rPr>
          <w:rFonts w:ascii="Times New Roman" w:hAnsi="Times New Roman"/>
          <w:b/>
          <w:sz w:val="24"/>
          <w:szCs w:val="24"/>
          <w:lang w:val="uk-UA"/>
        </w:rPr>
      </w:pPr>
      <w:r>
        <w:rPr>
          <w:rFonts w:ascii="Times New Roman" w:hAnsi="Times New Roman"/>
          <w:b/>
          <w:sz w:val="24"/>
          <w:szCs w:val="24"/>
          <w:lang w:val="uk-UA"/>
        </w:rPr>
        <w:t>9. Визначення заходів</w:t>
      </w:r>
      <w:r w:rsidRPr="00FF57FC">
        <w:rPr>
          <w:rFonts w:ascii="Times New Roman" w:hAnsi="Times New Roman"/>
          <w:b/>
          <w:sz w:val="24"/>
          <w:szCs w:val="24"/>
          <w:lang w:val="uk-UA"/>
        </w:rPr>
        <w:t>, за допомогою яких буде здійснюватися відстеження результативності регуляторного акта.</w:t>
      </w:r>
    </w:p>
    <w:p w:rsidR="00D11B5B" w:rsidRPr="00FF57FC" w:rsidRDefault="00D11B5B" w:rsidP="007B5C4F">
      <w:pPr>
        <w:spacing w:after="0"/>
        <w:jc w:val="both"/>
        <w:rPr>
          <w:rFonts w:ascii="Times New Roman" w:hAnsi="Times New Roman"/>
          <w:sz w:val="24"/>
          <w:szCs w:val="24"/>
          <w:lang w:val="uk-UA"/>
        </w:rPr>
      </w:pPr>
      <w:r w:rsidRPr="00FF57FC">
        <w:rPr>
          <w:rFonts w:ascii="Times New Roman" w:hAnsi="Times New Roman"/>
          <w:sz w:val="24"/>
          <w:szCs w:val="24"/>
          <w:lang w:val="uk-UA"/>
        </w:rPr>
        <w:t>Базове відстеження – до д</w:t>
      </w:r>
      <w:r>
        <w:rPr>
          <w:rFonts w:ascii="Times New Roman" w:hAnsi="Times New Roman"/>
          <w:sz w:val="24"/>
          <w:szCs w:val="24"/>
          <w:lang w:val="uk-UA"/>
        </w:rPr>
        <w:t>ня набрання чинності регуляторним актом, але</w:t>
      </w:r>
      <w:r w:rsidRPr="00FF57FC">
        <w:rPr>
          <w:rFonts w:ascii="Times New Roman" w:hAnsi="Times New Roman"/>
          <w:sz w:val="24"/>
          <w:szCs w:val="24"/>
          <w:lang w:val="uk-UA"/>
        </w:rPr>
        <w:t xml:space="preserve"> не пізніше 45 днів.</w:t>
      </w:r>
    </w:p>
    <w:p w:rsidR="00D11B5B" w:rsidRPr="00FF57FC" w:rsidRDefault="00D11B5B" w:rsidP="007B5C4F">
      <w:pPr>
        <w:spacing w:after="0"/>
        <w:jc w:val="both"/>
        <w:rPr>
          <w:rFonts w:ascii="Times New Roman" w:hAnsi="Times New Roman"/>
          <w:sz w:val="24"/>
          <w:szCs w:val="24"/>
          <w:lang w:val="uk-UA"/>
        </w:rPr>
      </w:pPr>
      <w:r w:rsidRPr="00FF57FC">
        <w:rPr>
          <w:rFonts w:ascii="Times New Roman" w:hAnsi="Times New Roman"/>
          <w:sz w:val="24"/>
          <w:szCs w:val="24"/>
          <w:lang w:val="uk-UA"/>
        </w:rPr>
        <w:t>Повтор</w:t>
      </w:r>
      <w:r>
        <w:rPr>
          <w:rFonts w:ascii="Times New Roman" w:hAnsi="Times New Roman"/>
          <w:sz w:val="24"/>
          <w:szCs w:val="24"/>
          <w:lang w:val="uk-UA"/>
        </w:rPr>
        <w:t>не відстеження – через рік після</w:t>
      </w:r>
      <w:r w:rsidRPr="00FF57FC">
        <w:rPr>
          <w:rFonts w:ascii="Times New Roman" w:hAnsi="Times New Roman"/>
          <w:sz w:val="24"/>
          <w:szCs w:val="24"/>
          <w:lang w:val="uk-UA"/>
        </w:rPr>
        <w:t xml:space="preserve"> набрання чинності регуляторним актом всіх </w:t>
      </w:r>
      <w:r>
        <w:rPr>
          <w:rFonts w:ascii="Times New Roman" w:hAnsi="Times New Roman"/>
          <w:sz w:val="24"/>
          <w:szCs w:val="24"/>
          <w:lang w:val="uk-UA"/>
        </w:rPr>
        <w:t xml:space="preserve">його </w:t>
      </w:r>
      <w:r w:rsidRPr="00FF57FC">
        <w:rPr>
          <w:rFonts w:ascii="Times New Roman" w:hAnsi="Times New Roman"/>
          <w:sz w:val="24"/>
          <w:szCs w:val="24"/>
          <w:lang w:val="uk-UA"/>
        </w:rPr>
        <w:t xml:space="preserve">положень, </w:t>
      </w:r>
      <w:r>
        <w:rPr>
          <w:rFonts w:ascii="Times New Roman" w:hAnsi="Times New Roman"/>
          <w:sz w:val="24"/>
          <w:szCs w:val="24"/>
          <w:lang w:val="uk-UA"/>
        </w:rPr>
        <w:t>але не пізніше ніж через 2 роки.</w:t>
      </w:r>
    </w:p>
    <w:p w:rsidR="00D11B5B" w:rsidRPr="00FF57FC" w:rsidRDefault="00D11B5B" w:rsidP="007B5C4F">
      <w:pPr>
        <w:spacing w:after="0"/>
        <w:jc w:val="both"/>
        <w:rPr>
          <w:rFonts w:ascii="Times New Roman" w:hAnsi="Times New Roman"/>
          <w:sz w:val="24"/>
          <w:szCs w:val="24"/>
          <w:lang w:val="uk-UA"/>
        </w:rPr>
      </w:pPr>
      <w:r>
        <w:rPr>
          <w:rFonts w:ascii="Times New Roman" w:hAnsi="Times New Roman"/>
          <w:sz w:val="24"/>
          <w:szCs w:val="24"/>
          <w:lang w:val="uk-UA"/>
        </w:rPr>
        <w:t xml:space="preserve">Періодичне відстеження - </w:t>
      </w:r>
      <w:r w:rsidRPr="00FF57FC">
        <w:rPr>
          <w:rFonts w:ascii="Times New Roman" w:hAnsi="Times New Roman"/>
          <w:sz w:val="24"/>
          <w:szCs w:val="24"/>
          <w:lang w:val="uk-UA"/>
        </w:rPr>
        <w:t xml:space="preserve"> раз на три роки після проведення повторного відстеження.</w:t>
      </w:r>
    </w:p>
    <w:p w:rsidR="00D11B5B" w:rsidRPr="00FF57FC" w:rsidRDefault="00D11B5B" w:rsidP="00700731">
      <w:pPr>
        <w:spacing w:after="0"/>
        <w:rPr>
          <w:rFonts w:ascii="Times New Roman" w:hAnsi="Times New Roman"/>
          <w:sz w:val="24"/>
          <w:szCs w:val="24"/>
          <w:lang w:val="uk-UA"/>
        </w:rPr>
      </w:pPr>
    </w:p>
    <w:p w:rsidR="00D11B5B" w:rsidRPr="00FF57FC" w:rsidRDefault="00D11B5B" w:rsidP="00FF57FC">
      <w:pPr>
        <w:jc w:val="both"/>
        <w:rPr>
          <w:rFonts w:ascii="Times New Roman" w:hAnsi="Times New Roman"/>
          <w:sz w:val="24"/>
          <w:szCs w:val="24"/>
        </w:rPr>
      </w:pPr>
    </w:p>
    <w:p w:rsidR="00D11B5B" w:rsidRPr="00FD75EE" w:rsidRDefault="00D11B5B" w:rsidP="009A1559">
      <w:pPr>
        <w:jc w:val="both"/>
        <w:rPr>
          <w:rFonts w:ascii="Times New Roman" w:hAnsi="Times New Roman"/>
          <w:b/>
          <w:sz w:val="28"/>
          <w:szCs w:val="28"/>
          <w:lang w:val="uk-UA"/>
        </w:rPr>
      </w:pPr>
      <w:r w:rsidRPr="00FD75EE">
        <w:rPr>
          <w:rFonts w:ascii="Times New Roman" w:hAnsi="Times New Roman"/>
          <w:b/>
          <w:sz w:val="28"/>
          <w:szCs w:val="28"/>
          <w:lang w:val="uk-UA"/>
        </w:rPr>
        <w:t xml:space="preserve">Ваші пропозиції, зауваження, побажання просимо надсилати у письмовій формі на адресу ДБОКГ:  </w:t>
      </w:r>
      <w:r>
        <w:rPr>
          <w:rFonts w:ascii="Times New Roman" w:hAnsi="Times New Roman"/>
          <w:b/>
          <w:sz w:val="28"/>
          <w:szCs w:val="28"/>
          <w:lang w:val="uk-UA"/>
        </w:rPr>
        <w:t xml:space="preserve"> </w:t>
      </w:r>
      <w:r w:rsidRPr="00FD75EE">
        <w:rPr>
          <w:rFonts w:ascii="Times New Roman" w:hAnsi="Times New Roman"/>
          <w:b/>
          <w:sz w:val="28"/>
          <w:szCs w:val="28"/>
          <w:lang w:val="uk-UA"/>
        </w:rPr>
        <w:t xml:space="preserve">м. </w:t>
      </w:r>
      <w:proofErr w:type="spellStart"/>
      <w:r w:rsidRPr="00FD75EE">
        <w:rPr>
          <w:rFonts w:ascii="Times New Roman" w:hAnsi="Times New Roman"/>
          <w:b/>
          <w:sz w:val="28"/>
          <w:szCs w:val="28"/>
          <w:lang w:val="uk-UA"/>
        </w:rPr>
        <w:t>Димитров</w:t>
      </w:r>
      <w:proofErr w:type="spellEnd"/>
      <w:r w:rsidRPr="00FD75EE">
        <w:rPr>
          <w:rFonts w:ascii="Times New Roman" w:hAnsi="Times New Roman"/>
          <w:b/>
          <w:sz w:val="28"/>
          <w:szCs w:val="28"/>
          <w:lang w:val="uk-UA"/>
        </w:rPr>
        <w:t>,  вул. Красноармійська 2,  тел. 6-04-05</w:t>
      </w:r>
      <w:r>
        <w:rPr>
          <w:rFonts w:ascii="Times New Roman" w:hAnsi="Times New Roman"/>
          <w:b/>
          <w:sz w:val="28"/>
          <w:szCs w:val="28"/>
          <w:lang w:val="uk-UA"/>
        </w:rPr>
        <w:t>.</w:t>
      </w:r>
    </w:p>
    <w:p w:rsidR="00D11B5B" w:rsidRPr="00FD75EE" w:rsidRDefault="00D11B5B" w:rsidP="00FF57FC">
      <w:pPr>
        <w:jc w:val="both"/>
        <w:rPr>
          <w:rFonts w:ascii="Times New Roman" w:hAnsi="Times New Roman"/>
          <w:b/>
          <w:i/>
          <w:sz w:val="28"/>
          <w:szCs w:val="28"/>
          <w:u w:val="single"/>
          <w:lang w:val="uk-UA"/>
        </w:rPr>
      </w:pPr>
      <w:r w:rsidRPr="00FD75EE">
        <w:rPr>
          <w:rFonts w:ascii="Times New Roman" w:hAnsi="Times New Roman"/>
          <w:b/>
          <w:i/>
          <w:sz w:val="28"/>
          <w:szCs w:val="28"/>
          <w:u w:val="single"/>
          <w:lang w:val="uk-UA"/>
        </w:rPr>
        <w:t>протягом  одного місяцю з моменту надрукування  статті.</w:t>
      </w:r>
    </w:p>
    <w:p w:rsidR="00D11B5B" w:rsidRPr="00FD75EE" w:rsidRDefault="00D11B5B" w:rsidP="00FF57FC">
      <w:pPr>
        <w:jc w:val="both"/>
        <w:rPr>
          <w:rFonts w:ascii="Times New Roman" w:hAnsi="Times New Roman"/>
          <w:sz w:val="28"/>
          <w:szCs w:val="28"/>
        </w:rPr>
      </w:pPr>
    </w:p>
    <w:p w:rsidR="00D11B5B" w:rsidRPr="00FD75EE" w:rsidRDefault="00D11B5B" w:rsidP="00FF57FC">
      <w:pPr>
        <w:jc w:val="both"/>
        <w:rPr>
          <w:rFonts w:ascii="Times New Roman" w:hAnsi="Times New Roman"/>
          <w:sz w:val="28"/>
          <w:szCs w:val="28"/>
        </w:rPr>
      </w:pPr>
    </w:p>
    <w:p w:rsidR="00D11B5B" w:rsidRPr="00335AD5" w:rsidRDefault="00D11B5B" w:rsidP="00FF57FC">
      <w:pPr>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Р.В. </w:t>
      </w:r>
      <w:proofErr w:type="spellStart"/>
      <w:r>
        <w:rPr>
          <w:rFonts w:ascii="Times New Roman" w:hAnsi="Times New Roman"/>
          <w:sz w:val="24"/>
          <w:szCs w:val="24"/>
          <w:lang w:val="uk-UA"/>
        </w:rPr>
        <w:t>Требушкін</w:t>
      </w:r>
      <w:proofErr w:type="spellEnd"/>
    </w:p>
    <w:p w:rsidR="00D11B5B" w:rsidRPr="00335AD5" w:rsidRDefault="00D11B5B" w:rsidP="00FF57FC">
      <w:pPr>
        <w:jc w:val="both"/>
        <w:rPr>
          <w:rFonts w:ascii="Times New Roman" w:hAnsi="Times New Roman"/>
          <w:sz w:val="24"/>
          <w:szCs w:val="24"/>
          <w:lang w:val="uk-UA"/>
        </w:rPr>
      </w:pPr>
    </w:p>
    <w:p w:rsidR="00D11B5B" w:rsidRPr="00335AD5" w:rsidRDefault="00D11B5B" w:rsidP="00FF57FC">
      <w:pPr>
        <w:jc w:val="both"/>
        <w:rPr>
          <w:rFonts w:ascii="Times New Roman" w:hAnsi="Times New Roman"/>
          <w:sz w:val="24"/>
          <w:szCs w:val="24"/>
          <w:lang w:val="uk-UA"/>
        </w:rPr>
      </w:pPr>
      <w:proofErr w:type="spellStart"/>
      <w:r>
        <w:rPr>
          <w:rFonts w:ascii="Times New Roman" w:hAnsi="Times New Roman"/>
          <w:sz w:val="24"/>
          <w:szCs w:val="24"/>
          <w:lang w:val="uk-UA"/>
        </w:rPr>
        <w:t>В.о</w:t>
      </w:r>
      <w:proofErr w:type="spellEnd"/>
      <w:r>
        <w:rPr>
          <w:rFonts w:ascii="Times New Roman" w:hAnsi="Times New Roman"/>
          <w:sz w:val="24"/>
          <w:szCs w:val="24"/>
          <w:lang w:val="uk-UA"/>
        </w:rPr>
        <w:t>. директора  ДБОКГ</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О.С. </w:t>
      </w:r>
      <w:proofErr w:type="spellStart"/>
      <w:r w:rsidRPr="00335AD5">
        <w:rPr>
          <w:rFonts w:ascii="Times New Roman" w:hAnsi="Times New Roman"/>
          <w:sz w:val="24"/>
          <w:szCs w:val="24"/>
          <w:lang w:val="uk-UA"/>
        </w:rPr>
        <w:t>Ескін</w:t>
      </w:r>
      <w:proofErr w:type="spellEnd"/>
    </w:p>
    <w:p w:rsidR="00D11B5B" w:rsidRPr="00335AD5" w:rsidRDefault="00D11B5B" w:rsidP="00FF57FC">
      <w:pPr>
        <w:jc w:val="both"/>
        <w:rPr>
          <w:rFonts w:ascii="Times New Roman" w:hAnsi="Times New Roman"/>
          <w:sz w:val="24"/>
          <w:szCs w:val="24"/>
          <w:lang w:val="uk-UA"/>
        </w:rPr>
      </w:pPr>
    </w:p>
    <w:p w:rsidR="00D11B5B" w:rsidRPr="00335AD5" w:rsidRDefault="00D11B5B" w:rsidP="00335AD5">
      <w:pPr>
        <w:spacing w:after="0"/>
        <w:jc w:val="both"/>
        <w:rPr>
          <w:rFonts w:ascii="Times New Roman" w:hAnsi="Times New Roman"/>
          <w:sz w:val="24"/>
          <w:szCs w:val="24"/>
          <w:lang w:val="uk-UA"/>
        </w:rPr>
      </w:pPr>
      <w:r w:rsidRPr="00335AD5">
        <w:rPr>
          <w:rFonts w:ascii="Times New Roman" w:hAnsi="Times New Roman"/>
          <w:sz w:val="24"/>
          <w:szCs w:val="24"/>
          <w:lang w:val="uk-UA"/>
        </w:rPr>
        <w:t>Начальник відділу економіки,</w:t>
      </w:r>
    </w:p>
    <w:p w:rsidR="00D11B5B" w:rsidRPr="00335AD5" w:rsidRDefault="00D11B5B" w:rsidP="00335AD5">
      <w:pPr>
        <w:spacing w:after="0"/>
        <w:jc w:val="both"/>
        <w:rPr>
          <w:rFonts w:ascii="Times New Roman" w:hAnsi="Times New Roman"/>
          <w:sz w:val="24"/>
          <w:szCs w:val="24"/>
          <w:lang w:val="uk-UA"/>
        </w:rPr>
      </w:pPr>
      <w:r w:rsidRPr="00335AD5">
        <w:rPr>
          <w:rFonts w:ascii="Times New Roman" w:hAnsi="Times New Roman"/>
          <w:sz w:val="24"/>
          <w:szCs w:val="24"/>
          <w:lang w:val="uk-UA"/>
        </w:rPr>
        <w:t>аналізу та прогнозування</w:t>
      </w:r>
    </w:p>
    <w:p w:rsidR="00D11B5B" w:rsidRPr="00335AD5" w:rsidRDefault="00D11B5B" w:rsidP="00335AD5">
      <w:pPr>
        <w:spacing w:after="0"/>
        <w:jc w:val="both"/>
        <w:rPr>
          <w:rFonts w:ascii="Times New Roman" w:hAnsi="Times New Roman"/>
          <w:sz w:val="24"/>
          <w:szCs w:val="24"/>
          <w:lang w:val="uk-UA"/>
        </w:rPr>
      </w:pPr>
      <w:proofErr w:type="spellStart"/>
      <w:r w:rsidRPr="00335AD5">
        <w:rPr>
          <w:rFonts w:ascii="Times New Roman" w:hAnsi="Times New Roman"/>
          <w:sz w:val="24"/>
          <w:szCs w:val="24"/>
          <w:lang w:val="uk-UA"/>
        </w:rPr>
        <w:t>Дими</w:t>
      </w:r>
      <w:r>
        <w:rPr>
          <w:rFonts w:ascii="Times New Roman" w:hAnsi="Times New Roman"/>
          <w:sz w:val="24"/>
          <w:szCs w:val="24"/>
          <w:lang w:val="uk-UA"/>
        </w:rPr>
        <w:t>т</w:t>
      </w:r>
      <w:r w:rsidRPr="00335AD5">
        <w:rPr>
          <w:rFonts w:ascii="Times New Roman" w:hAnsi="Times New Roman"/>
          <w:sz w:val="24"/>
          <w:szCs w:val="24"/>
          <w:lang w:val="uk-UA"/>
        </w:rPr>
        <w:t>ровської</w:t>
      </w:r>
      <w:proofErr w:type="spellEnd"/>
      <w:r w:rsidRPr="00335AD5">
        <w:rPr>
          <w:rFonts w:ascii="Times New Roman" w:hAnsi="Times New Roman"/>
          <w:sz w:val="24"/>
          <w:szCs w:val="24"/>
          <w:lang w:val="uk-UA"/>
        </w:rPr>
        <w:t xml:space="preserve"> мі</w:t>
      </w:r>
      <w:r>
        <w:rPr>
          <w:rFonts w:ascii="Times New Roman" w:hAnsi="Times New Roman"/>
          <w:sz w:val="24"/>
          <w:szCs w:val="24"/>
          <w:lang w:val="uk-UA"/>
        </w:rPr>
        <w:t xml:space="preserve">ської ради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Л.І. </w:t>
      </w:r>
      <w:proofErr w:type="spellStart"/>
      <w:r w:rsidRPr="00335AD5">
        <w:rPr>
          <w:rFonts w:ascii="Times New Roman" w:hAnsi="Times New Roman"/>
          <w:sz w:val="24"/>
          <w:szCs w:val="24"/>
          <w:lang w:val="uk-UA"/>
        </w:rPr>
        <w:t>Безручко</w:t>
      </w:r>
      <w:proofErr w:type="spellEnd"/>
    </w:p>
    <w:p w:rsidR="00D11B5B" w:rsidRPr="00344B4E" w:rsidRDefault="00D11B5B" w:rsidP="00344B4E">
      <w:pPr>
        <w:jc w:val="both"/>
        <w:rPr>
          <w:rFonts w:ascii="Times New Roman" w:hAnsi="Times New Roman"/>
          <w:sz w:val="24"/>
          <w:szCs w:val="24"/>
          <w:lang w:val="uk-UA"/>
        </w:rPr>
      </w:pPr>
    </w:p>
    <w:sectPr w:rsidR="00D11B5B" w:rsidRPr="00344B4E" w:rsidSect="00235A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8111A"/>
    <w:multiLevelType w:val="hybridMultilevel"/>
    <w:tmpl w:val="B8F2C198"/>
    <w:lvl w:ilvl="0" w:tplc="610ED616">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6E1955"/>
    <w:multiLevelType w:val="hybridMultilevel"/>
    <w:tmpl w:val="ADC4C0B6"/>
    <w:lvl w:ilvl="0" w:tplc="3F5AAE2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803BD3"/>
    <w:multiLevelType w:val="hybridMultilevel"/>
    <w:tmpl w:val="560A1B08"/>
    <w:lvl w:ilvl="0" w:tplc="9BB60C5A">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2F4317"/>
    <w:multiLevelType w:val="multilevel"/>
    <w:tmpl w:val="BE8221EE"/>
    <w:lvl w:ilvl="0">
      <w:start w:val="1"/>
      <w:numFmt w:val="decimal"/>
      <w:lvlText w:val="%1."/>
      <w:lvlJc w:val="left"/>
      <w:pPr>
        <w:ind w:left="720" w:hanging="360"/>
      </w:pPr>
      <w:rPr>
        <w:rFonts w:cs="Times New Roman" w:hint="default"/>
      </w:rPr>
    </w:lvl>
    <w:lvl w:ilvl="1">
      <w:start w:val="1"/>
      <w:numFmt w:val="decimal"/>
      <w:isLgl/>
      <w:lvlText w:val="%1.%2."/>
      <w:lvlJc w:val="left"/>
      <w:pPr>
        <w:ind w:left="502"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272D1F65"/>
    <w:multiLevelType w:val="hybridMultilevel"/>
    <w:tmpl w:val="DFFA38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8835C4B"/>
    <w:multiLevelType w:val="hybridMultilevel"/>
    <w:tmpl w:val="3FB219DE"/>
    <w:lvl w:ilvl="0" w:tplc="171AC25E">
      <w:start w:val="2"/>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2FBE4880"/>
    <w:multiLevelType w:val="hybridMultilevel"/>
    <w:tmpl w:val="8CF03E54"/>
    <w:lvl w:ilvl="0" w:tplc="1F8EE4A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856BC"/>
    <w:multiLevelType w:val="hybridMultilevel"/>
    <w:tmpl w:val="B0565DE8"/>
    <w:lvl w:ilvl="0" w:tplc="2704185A">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C85B8C"/>
    <w:multiLevelType w:val="hybridMultilevel"/>
    <w:tmpl w:val="347CF6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0B61BFD"/>
    <w:multiLevelType w:val="hybridMultilevel"/>
    <w:tmpl w:val="231095BE"/>
    <w:lvl w:ilvl="0" w:tplc="A1E8ACBC">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266A55"/>
    <w:multiLevelType w:val="hybridMultilevel"/>
    <w:tmpl w:val="8FCC2802"/>
    <w:lvl w:ilvl="0" w:tplc="751C3CF2">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E03482D"/>
    <w:multiLevelType w:val="hybridMultilevel"/>
    <w:tmpl w:val="DEA859E0"/>
    <w:lvl w:ilvl="0" w:tplc="E598985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1187DB3"/>
    <w:multiLevelType w:val="hybridMultilevel"/>
    <w:tmpl w:val="82E6301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A1D0779"/>
    <w:multiLevelType w:val="hybridMultilevel"/>
    <w:tmpl w:val="0086773A"/>
    <w:lvl w:ilvl="0" w:tplc="92E8561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2"/>
  </w:num>
  <w:num w:numId="4">
    <w:abstractNumId w:val="9"/>
  </w:num>
  <w:num w:numId="5">
    <w:abstractNumId w:val="2"/>
  </w:num>
  <w:num w:numId="6">
    <w:abstractNumId w:val="10"/>
  </w:num>
  <w:num w:numId="7">
    <w:abstractNumId w:val="11"/>
  </w:num>
  <w:num w:numId="8">
    <w:abstractNumId w:val="1"/>
  </w:num>
  <w:num w:numId="9">
    <w:abstractNumId w:val="5"/>
  </w:num>
  <w:num w:numId="10">
    <w:abstractNumId w:val="0"/>
  </w:num>
  <w:num w:numId="11">
    <w:abstractNumId w:val="6"/>
  </w:num>
  <w:num w:numId="12">
    <w:abstractNumId w:val="8"/>
  </w:num>
  <w:num w:numId="13">
    <w:abstractNumId w:val="1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4867"/>
    <w:rsid w:val="00003606"/>
    <w:rsid w:val="00064B8B"/>
    <w:rsid w:val="00075B59"/>
    <w:rsid w:val="00086E6E"/>
    <w:rsid w:val="000D5F4D"/>
    <w:rsid w:val="000E390B"/>
    <w:rsid w:val="00113286"/>
    <w:rsid w:val="00130D30"/>
    <w:rsid w:val="00207526"/>
    <w:rsid w:val="00235ACB"/>
    <w:rsid w:val="002579B6"/>
    <w:rsid w:val="002910B0"/>
    <w:rsid w:val="002C5B50"/>
    <w:rsid w:val="002F225A"/>
    <w:rsid w:val="00302D5E"/>
    <w:rsid w:val="00312D8F"/>
    <w:rsid w:val="00335AD5"/>
    <w:rsid w:val="00344B4E"/>
    <w:rsid w:val="00375D49"/>
    <w:rsid w:val="003A6EDC"/>
    <w:rsid w:val="003B42A0"/>
    <w:rsid w:val="00451130"/>
    <w:rsid w:val="004905BD"/>
    <w:rsid w:val="00502D63"/>
    <w:rsid w:val="00512A8D"/>
    <w:rsid w:val="005F0426"/>
    <w:rsid w:val="00617C34"/>
    <w:rsid w:val="00625282"/>
    <w:rsid w:val="006756E1"/>
    <w:rsid w:val="006870E5"/>
    <w:rsid w:val="006A6B38"/>
    <w:rsid w:val="006C2694"/>
    <w:rsid w:val="006F0464"/>
    <w:rsid w:val="00700731"/>
    <w:rsid w:val="007139DB"/>
    <w:rsid w:val="007554D0"/>
    <w:rsid w:val="007A0C8B"/>
    <w:rsid w:val="007B5C4F"/>
    <w:rsid w:val="008100C5"/>
    <w:rsid w:val="00885D47"/>
    <w:rsid w:val="008B2527"/>
    <w:rsid w:val="008C42F7"/>
    <w:rsid w:val="008D2CE1"/>
    <w:rsid w:val="008D4498"/>
    <w:rsid w:val="00900226"/>
    <w:rsid w:val="00933B31"/>
    <w:rsid w:val="009A1559"/>
    <w:rsid w:val="009A7571"/>
    <w:rsid w:val="009F2DC1"/>
    <w:rsid w:val="00A50A4D"/>
    <w:rsid w:val="00AE7946"/>
    <w:rsid w:val="00AF797D"/>
    <w:rsid w:val="00BB6F2C"/>
    <w:rsid w:val="00BE1E11"/>
    <w:rsid w:val="00C4788C"/>
    <w:rsid w:val="00CA1B8A"/>
    <w:rsid w:val="00CA3448"/>
    <w:rsid w:val="00CC6D0C"/>
    <w:rsid w:val="00D11B5B"/>
    <w:rsid w:val="00D30D01"/>
    <w:rsid w:val="00D94867"/>
    <w:rsid w:val="00DD7A67"/>
    <w:rsid w:val="00DF0270"/>
    <w:rsid w:val="00E67B16"/>
    <w:rsid w:val="00E75A2B"/>
    <w:rsid w:val="00E91F90"/>
    <w:rsid w:val="00EB1F38"/>
    <w:rsid w:val="00ED63FD"/>
    <w:rsid w:val="00F156DC"/>
    <w:rsid w:val="00F368E0"/>
    <w:rsid w:val="00FD75EE"/>
    <w:rsid w:val="00FF57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ACB"/>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D7A67"/>
    <w:pPr>
      <w:ind w:left="720"/>
      <w:contextualSpacing/>
    </w:pPr>
  </w:style>
  <w:style w:type="table" w:styleId="a4">
    <w:name w:val="Table Grid"/>
    <w:basedOn w:val="a1"/>
    <w:uiPriority w:val="99"/>
    <w:rsid w:val="00C4788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ody Text"/>
    <w:basedOn w:val="a"/>
    <w:link w:val="a6"/>
    <w:uiPriority w:val="99"/>
    <w:semiHidden/>
    <w:rsid w:val="006C2694"/>
    <w:pPr>
      <w:spacing w:after="0" w:line="240" w:lineRule="auto"/>
      <w:jc w:val="both"/>
    </w:pPr>
    <w:rPr>
      <w:rFonts w:ascii="Times New Roman" w:eastAsia="Times New Roman" w:hAnsi="Times New Roman"/>
      <w:sz w:val="28"/>
      <w:szCs w:val="20"/>
      <w:lang w:eastAsia="ru-RU"/>
    </w:rPr>
  </w:style>
  <w:style w:type="character" w:customStyle="1" w:styleId="a6">
    <w:name w:val="Основной текст Знак"/>
    <w:basedOn w:val="a0"/>
    <w:link w:val="a5"/>
    <w:uiPriority w:val="99"/>
    <w:semiHidden/>
    <w:locked/>
    <w:rsid w:val="006C2694"/>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882716333">
      <w:marLeft w:val="0"/>
      <w:marRight w:val="0"/>
      <w:marTop w:val="0"/>
      <w:marBottom w:val="0"/>
      <w:divBdr>
        <w:top w:val="none" w:sz="0" w:space="0" w:color="auto"/>
        <w:left w:val="none" w:sz="0" w:space="0" w:color="auto"/>
        <w:bottom w:val="none" w:sz="0" w:space="0" w:color="auto"/>
        <w:right w:val="none" w:sz="0" w:space="0" w:color="auto"/>
      </w:divBdr>
    </w:div>
    <w:div w:id="882716334">
      <w:marLeft w:val="0"/>
      <w:marRight w:val="0"/>
      <w:marTop w:val="0"/>
      <w:marBottom w:val="0"/>
      <w:divBdr>
        <w:top w:val="none" w:sz="0" w:space="0" w:color="auto"/>
        <w:left w:val="none" w:sz="0" w:space="0" w:color="auto"/>
        <w:bottom w:val="none" w:sz="0" w:space="0" w:color="auto"/>
        <w:right w:val="none" w:sz="0" w:space="0" w:color="auto"/>
      </w:divBdr>
    </w:div>
    <w:div w:id="882716335">
      <w:marLeft w:val="0"/>
      <w:marRight w:val="0"/>
      <w:marTop w:val="0"/>
      <w:marBottom w:val="0"/>
      <w:divBdr>
        <w:top w:val="none" w:sz="0" w:space="0" w:color="auto"/>
        <w:left w:val="none" w:sz="0" w:space="0" w:color="auto"/>
        <w:bottom w:val="none" w:sz="0" w:space="0" w:color="auto"/>
        <w:right w:val="none" w:sz="0" w:space="0" w:color="auto"/>
      </w:divBdr>
    </w:div>
    <w:div w:id="882716336">
      <w:marLeft w:val="0"/>
      <w:marRight w:val="0"/>
      <w:marTop w:val="0"/>
      <w:marBottom w:val="0"/>
      <w:divBdr>
        <w:top w:val="none" w:sz="0" w:space="0" w:color="auto"/>
        <w:left w:val="none" w:sz="0" w:space="0" w:color="auto"/>
        <w:bottom w:val="none" w:sz="0" w:space="0" w:color="auto"/>
        <w:right w:val="none" w:sz="0" w:space="0" w:color="auto"/>
      </w:divBdr>
    </w:div>
    <w:div w:id="882716337">
      <w:marLeft w:val="0"/>
      <w:marRight w:val="0"/>
      <w:marTop w:val="0"/>
      <w:marBottom w:val="0"/>
      <w:divBdr>
        <w:top w:val="none" w:sz="0" w:space="0" w:color="auto"/>
        <w:left w:val="none" w:sz="0" w:space="0" w:color="auto"/>
        <w:bottom w:val="none" w:sz="0" w:space="0" w:color="auto"/>
        <w:right w:val="none" w:sz="0" w:space="0" w:color="auto"/>
      </w:divBdr>
    </w:div>
    <w:div w:id="8827163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4</Pages>
  <Words>1126</Words>
  <Characters>7658</Characters>
  <Application>Microsoft Office Word</Application>
  <DocSecurity>0</DocSecurity>
  <Lines>63</Lines>
  <Paragraphs>17</Paragraphs>
  <ScaleCrop>false</ScaleCrop>
  <Company/>
  <LinksUpToDate>false</LinksUpToDate>
  <CharactersWithSpaces>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Smeta</cp:lastModifiedBy>
  <cp:revision>41</cp:revision>
  <cp:lastPrinted>2013-09-13T05:55:00Z</cp:lastPrinted>
  <dcterms:created xsi:type="dcterms:W3CDTF">2013-09-10T18:19:00Z</dcterms:created>
  <dcterms:modified xsi:type="dcterms:W3CDTF">2013-09-18T08:45:00Z</dcterms:modified>
</cp:coreProperties>
</file>